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D2" w:rsidRPr="00FC17A9" w:rsidRDefault="005F10D2">
      <w:pPr>
        <w:autoSpaceDE w:val="0"/>
        <w:autoSpaceDN w:val="0"/>
        <w:adjustRightInd w:val="0"/>
        <w:spacing w:before="1" w:line="90" w:lineRule="exact"/>
        <w:rPr>
          <w:rFonts w:ascii="Arial" w:hAnsi="Arial" w:cs="Arial"/>
          <w:sz w:val="9"/>
        </w:rPr>
      </w:pPr>
      <w:bookmarkStart w:id="0" w:name="_GoBack"/>
      <w:bookmarkEnd w:id="0"/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63"/>
        <w:gridCol w:w="3749"/>
      </w:tblGrid>
      <w:tr w:rsidR="005F10D2" w:rsidRPr="00FC17A9" w:rsidTr="007A027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أساليب تحسين الأعمال</w:t>
            </w:r>
          </w:p>
        </w:tc>
      </w:tr>
      <w:tr w:rsidR="005F10D2" w:rsidRPr="00FC17A9" w:rsidTr="007A027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5F10D2" w:rsidRPr="00FC17A9" w:rsidTr="007A027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5F10D2" w:rsidRPr="00FC17A9" w:rsidTr="007A027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5F10D2" w:rsidRPr="00FC17A9" w:rsidTr="007A0272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5F10D2" w:rsidRPr="00FC17A9" w:rsidTr="00396B4B">
        <w:trPr>
          <w:trHeight w:hRule="exact" w:val="19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370" w:hanging="36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إدراك أهمية التحسين المستمر للجودة والأداء في مكان العمل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1.1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rFonts w:ascii="Arial" w:hAnsi="Arial" w:cs="Arial"/>
                <w:sz w:val="11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57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7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39" w:lineRule="auto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أسباب أهمية التحسين المستمر للجودة والأداء بالنسبة لأيّ مؤسسة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16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10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تشجيع الفريق لتبني أساليب التحسين المستمر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29" w:lineRule="exact"/>
              <w:ind w:left="121" w:right="187"/>
              <w:jc w:val="both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16</w:t>
            </w:r>
          </w:p>
        </w:tc>
      </w:tr>
      <w:tr w:rsidR="005F10D2" w:rsidRPr="00FC17A9" w:rsidTr="000D3B3B">
        <w:trPr>
          <w:trHeight w:hRule="exact" w:val="349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tabs>
                <w:tab w:val="left" w:pos="540"/>
              </w:tabs>
              <w:autoSpaceDE w:val="0"/>
              <w:autoSpaceDN w:val="0"/>
              <w:bidi/>
              <w:adjustRightInd w:val="0"/>
              <w:ind w:left="534" w:right="198" w:hanging="432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استخدام أدوات وأساليب تحسين الأعمال من أجل التحسين المستمر لمكان العمل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2.1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2.2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2.3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rFonts w:ascii="Arial" w:hAnsi="Arial" w:cs="Arial"/>
                <w:sz w:val="11"/>
              </w:rPr>
            </w:pPr>
          </w:p>
          <w:p w:rsidR="006D1AE6" w:rsidRPr="00FC17A9" w:rsidRDefault="006D1AE6" w:rsidP="00C43BD3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rFonts w:ascii="Arial" w:hAnsi="Arial" w:cs="Arial"/>
                <w:sz w:val="11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5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مشكلة في الفريق أو المنطقة الخاصة بالمؤسسة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8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10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شرح </w:t>
            </w:r>
            <w:r w:rsidRPr="00FC17A9">
              <w:rPr>
                <w:rFonts w:ascii="Arial" w:eastAsia="Arial" w:hAnsi="Arial" w:cs="Arial"/>
                <w:sz w:val="20"/>
                <w:szCs w:val="20"/>
                <w:u w:val="single"/>
                <w:rtl/>
                <w:lang w:bidi="ar"/>
              </w:rPr>
              <w:t>اثنين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من الأسباب المحتملة للمشكلة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29" w:lineRule="exact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8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11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39" w:lineRule="auto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معالجة المشكلة باستخدام أداة و/أو أسلوب تحسين الأعمال المعترف به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16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10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tabs>
                <w:tab w:val="left" w:pos="1100"/>
              </w:tabs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طريقة و</w:t>
            </w:r>
            <w:r w:rsidRPr="00DF5D4E">
              <w:rPr>
                <w:rFonts w:ascii="Arial" w:eastAsia="Arial" w:hAnsi="Arial" w:cs="Arial"/>
                <w:sz w:val="20"/>
                <w:szCs w:val="20"/>
                <w:u w:val="single"/>
                <w:rtl/>
                <w:lang w:bidi="ar"/>
              </w:rPr>
              <w:t>احدة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يمكن استخدامها في قياس مدى فعالية أداة أو أسلوب التحسين المقترح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12</w:t>
            </w:r>
          </w:p>
        </w:tc>
      </w:tr>
      <w:tr w:rsidR="005F10D2" w:rsidRPr="00FC17A9" w:rsidTr="000D3B3B">
        <w:trPr>
          <w:trHeight w:hRule="exact" w:val="156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6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tabs>
                <w:tab w:val="left" w:pos="540"/>
              </w:tabs>
              <w:autoSpaceDE w:val="0"/>
              <w:autoSpaceDN w:val="0"/>
              <w:bidi/>
              <w:adjustRightInd w:val="0"/>
              <w:spacing w:line="239" w:lineRule="auto"/>
              <w:ind w:left="534" w:right="144" w:hanging="432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نشر فوائد التحسين المحدّد لتطبيقها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3.1</w:t>
            </w: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5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سبب (أسباب) اختيار تحسين محدّد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29" w:lineRule="exact"/>
              <w:ind w:left="121" w:right="187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</w:rPr>
              <w:t>12</w:t>
            </w: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11" w:line="220" w:lineRule="exact"/>
              <w:ind w:right="187"/>
              <w:jc w:val="both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39" w:lineRule="auto"/>
              <w:ind w:left="121" w:right="187"/>
              <w:jc w:val="both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وصف كيفية رفع تقارير فوائد التحسين المحدّد 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</w:tc>
      </w:tr>
      <w:tr w:rsidR="005F10D2" w:rsidRPr="00FC17A9" w:rsidTr="007A0272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7" w:line="120" w:lineRule="exact"/>
              <w:ind w:right="187"/>
              <w:jc w:val="both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ind w:left="102" w:right="187"/>
              <w:jc w:val="both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5F10D2" w:rsidRPr="00FC17A9" w:rsidTr="00C43BD3">
        <w:trPr>
          <w:trHeight w:hRule="exact" w:val="106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before="7" w:line="120" w:lineRule="exact"/>
              <w:ind w:right="187"/>
              <w:jc w:val="both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2D6A40">
            <w:pPr>
              <w:autoSpaceDE w:val="0"/>
              <w:autoSpaceDN w:val="0"/>
              <w:bidi/>
              <w:adjustRightInd w:val="0"/>
              <w:spacing w:line="250" w:lineRule="auto"/>
              <w:ind w:left="102" w:right="187"/>
              <w:jc w:val="both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تحصيل معرفة أساسية حول أساليب تحسين الأعمال وفقًا لما هو مطلوب من</w:t>
            </w:r>
            <w:r w:rsidR="001D1E9F"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1D1E9F"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قائد الفريق الممارس أو المحتمل أو قائد المجموعة.</w:t>
            </w:r>
          </w:p>
        </w:tc>
      </w:tr>
      <w:tr w:rsidR="00F46588" w:rsidRPr="00FC17A9" w:rsidTr="005F10D2">
        <w:trPr>
          <w:trHeight w:hRule="exact" w:val="61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6588" w:rsidRPr="00FC17A9" w:rsidRDefault="00F46588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F46588" w:rsidRPr="00FC17A9" w:rsidRDefault="00F46588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3BD3" w:rsidRPr="00FC17A9" w:rsidRDefault="00C43BD3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F46588" w:rsidRPr="00FC17A9" w:rsidRDefault="00F46588" w:rsidP="00C43BD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</w:tbl>
    <w:p w:rsidR="005F10D2" w:rsidRPr="00FC17A9" w:rsidRDefault="005F10D2">
      <w:pPr>
        <w:rPr>
          <w:rFonts w:ascii="Arial" w:hAnsi="Arial" w:cs="Arial"/>
        </w:rPr>
        <w:sectPr w:rsidR="005F10D2" w:rsidRPr="00FC17A9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5F10D2" w:rsidRPr="00FC17A9" w:rsidTr="00C43BD3">
        <w:trPr>
          <w:trHeight w:hRule="exact" w:val="86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C98" w:rsidRPr="00FC17A9" w:rsidRDefault="00B41C98" w:rsidP="00B41C98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5E2E0C">
            <w:pPr>
              <w:autoSpaceDE w:val="0"/>
              <w:autoSpaceDN w:val="0"/>
              <w:bidi/>
              <w:adjustRightInd w:val="0"/>
              <w:spacing w:line="226" w:lineRule="exact"/>
              <w:ind w:left="102" w:right="158"/>
              <w:jc w:val="both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الوحدتان </w:t>
            </w:r>
            <w:r w:rsid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F5</w:t>
            </w:r>
            <w:r w:rsidR="00B56FD9" w:rsidRP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F7</w:t>
            </w:r>
            <w:r w:rsidR="00B56FD9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 w:rsidR="00B56FD9">
              <w:t xml:space="preserve"> </w:t>
            </w:r>
            <w:r w:rsidR="00B56FD9" w:rsidRP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5F10D2" w:rsidRPr="00FC17A9" w:rsidTr="00A94D4C">
        <w:trPr>
          <w:trHeight w:val="91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50" w:lineRule="auto"/>
              <w:ind w:left="102" w:right="189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5F10D2" w:rsidRPr="00FC17A9" w:rsidTr="00C43BD3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5F10D2" w:rsidRPr="00FC17A9" w:rsidTr="00C43BD3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B56FD9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M2.18</w:t>
            </w:r>
            <w:r w:rsid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أساليب تحسين الأعمال</w:t>
            </w:r>
          </w:p>
        </w:tc>
      </w:tr>
      <w:tr w:rsidR="005F10D2" w:rsidRPr="00FC17A9" w:rsidTr="00C43BD3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B56FD9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B56FD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5F10D2" w:rsidRPr="00FC17A9" w:rsidTr="00C43BD3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5F10D2" w:rsidRPr="00FC17A9" w:rsidTr="00C43BD3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5F10D2" w:rsidRPr="00FC17A9" w:rsidTr="00C43BD3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5F10D2" w:rsidRPr="00FC17A9" w:rsidTr="00C43BD3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5F10D2" w:rsidRPr="00FC17A9" w:rsidTr="00C43BD3">
        <w:trPr>
          <w:trHeight w:hRule="exact" w:val="144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الجودة والتحسين المستمر في العمل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الدراية بمعايير الخدمة/المنتج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خطط الاقتراحات/القدوة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ترسيخ الالتزام والولاء تجاه المؤسسة</w:t>
            </w:r>
          </w:p>
        </w:tc>
      </w:tr>
      <w:tr w:rsidR="005F10D2" w:rsidRPr="00FC17A9" w:rsidTr="00A94D4C">
        <w:trPr>
          <w:trHeight w:hRule="exact" w:val="2709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0D2" w:rsidRPr="00FC17A9" w:rsidRDefault="005F10D2" w:rsidP="00C43BD3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rFonts w:ascii="Arial" w:hAnsi="Arial" w:cs="Arial"/>
                <w:sz w:val="22"/>
              </w:rPr>
            </w:pP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588" w:hanging="360"/>
              <w:jc w:val="both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مجموعة من الأساليب المتوفرة (على الأقل </w:t>
            </w: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اثنين 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من تحسين أداء العملية، والإدارة المرئية، وفلسفة كايزن (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Kaizen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)، ومعايير سيجما الستة (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Six Sigma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)، وحلقات الجودة، ومجموعات تحسين الجودة، والمقارنة المرجعية، وحل المشكلات)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462" w:right="666" w:hanging="36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استخدام الأدوات بغرض التحسين (على الأقل </w:t>
            </w:r>
            <w:r w:rsidRPr="00FC17A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اثنين 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من: مخططات السبب والأثر/هيكل السمكة، ومخططات باريتو (</w:t>
            </w:r>
            <w:r w:rsidRPr="00FC17A9">
              <w:rPr>
                <w:rFonts w:ascii="Arial" w:eastAsia="Arial" w:hAnsi="Arial" w:cs="Arial"/>
                <w:sz w:val="20"/>
                <w:szCs w:val="20"/>
                <w:lang w:bidi="ar"/>
              </w:rPr>
              <w:t>Pareto Charts</w:t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)، ومخططات تدفق العملية، وخرائط التبعثر، ومخططات المراقبة/الاتجاه)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/>
              <w:ind w:left="102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الارتقاء بالأفكار الإبداعية والحلول المبتكرة للمشكلات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تقييم فعالية مقاييس الجودة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تقييم فعالية مقاييس الجودة</w:t>
            </w:r>
          </w:p>
          <w:p w:rsidR="005F10D2" w:rsidRPr="00FC17A9" w:rsidRDefault="005F10D2" w:rsidP="00C43BD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380" w:hanging="360"/>
              <w:rPr>
                <w:rFonts w:ascii="Arial" w:hAnsi="Arial" w:cs="Arial"/>
              </w:rPr>
            </w:pP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FC17A9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FC17A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ما العوامل الأخرى التي ينبغي أخذها بعين الاعتبار عند اتخاذ القرارات بشأن التحسين المقترح</w:t>
            </w:r>
          </w:p>
        </w:tc>
      </w:tr>
      <w:tr w:rsidR="00A94D4C" w:rsidRPr="00FC17A9" w:rsidTr="00B56FD9">
        <w:trPr>
          <w:trHeight w:hRule="exact" w:val="118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4D4C" w:rsidRPr="00FC17A9" w:rsidRDefault="00A94D4C" w:rsidP="005F10D2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A94D4C" w:rsidRPr="00FC17A9" w:rsidRDefault="00A94D4C" w:rsidP="005F10D2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A00" w:rsidRDefault="00A94D4C" w:rsidP="00034A00">
            <w:pPr>
              <w:tabs>
                <w:tab w:val="left" w:pos="460"/>
                <w:tab w:val="left" w:pos="820"/>
              </w:tabs>
              <w:autoSpaceDE w:val="0"/>
              <w:autoSpaceDN w:val="0"/>
              <w:bidi/>
              <w:adjustRightInd w:val="0"/>
              <w:spacing w:before="92" w:line="368" w:lineRule="exact"/>
              <w:ind w:left="104" w:right="-20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034A00">
              <w:rPr>
                <w:rFonts w:ascii="Arial" w:hAnsi="Arial" w:cs="Arial"/>
                <w:sz w:val="20"/>
                <w:szCs w:val="20"/>
                <w:rtl/>
                <w:lang w:bidi="ar"/>
              </w:rPr>
              <w:t xml:space="preserve">• </w:t>
            </w:r>
            <w:r w:rsidRPr="00034A0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  <w:t>كيفية تقييم التكاليف المالية للتحسين المقترح وفوائده</w:t>
            </w:r>
          </w:p>
          <w:p w:rsidR="00A94D4C" w:rsidRPr="00034A00" w:rsidRDefault="00A94D4C" w:rsidP="00790E8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/>
              <w:ind w:left="458" w:right="-20" w:hanging="356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034A0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034A0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  <w:t>ما العوامل الأخرى التي ينبغي أخذها بعين الاعتبار عند اتخاذ القرارات بشأن التحسين</w:t>
            </w:r>
            <w:r w:rsidR="00790E80">
              <w:rPr>
                <w:rFonts w:ascii="Arial" w:hAnsi="Arial" w:cs="Arial"/>
                <w:sz w:val="20"/>
                <w:szCs w:val="20"/>
                <w:lang w:bidi="ar"/>
              </w:rPr>
              <w:t xml:space="preserve"> </w:t>
            </w:r>
            <w:r w:rsidRPr="00034A00">
              <w:rPr>
                <w:rFonts w:ascii="Arial" w:hAnsi="Arial" w:cs="Arial"/>
                <w:sz w:val="20"/>
                <w:szCs w:val="20"/>
                <w:rtl/>
                <w:lang w:bidi="ar"/>
              </w:rPr>
              <w:t>المقترح</w:t>
            </w:r>
          </w:p>
          <w:p w:rsidR="00A94D4C" w:rsidRPr="00FC17A9" w:rsidRDefault="00A94D4C" w:rsidP="00C43BD3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rFonts w:ascii="Arial" w:hAnsi="Arial" w:cs="Arial"/>
                <w:sz w:val="22"/>
              </w:rPr>
            </w:pPr>
          </w:p>
        </w:tc>
      </w:tr>
    </w:tbl>
    <w:p w:rsidR="005F10D2" w:rsidRPr="00FC17A9" w:rsidRDefault="005F10D2" w:rsidP="00A94D4C">
      <w:pPr>
        <w:tabs>
          <w:tab w:val="left" w:pos="460"/>
          <w:tab w:val="left" w:pos="820"/>
        </w:tabs>
        <w:autoSpaceDE w:val="0"/>
        <w:autoSpaceDN w:val="0"/>
        <w:bidi/>
        <w:adjustRightInd w:val="0"/>
        <w:spacing w:before="92" w:line="368" w:lineRule="exact"/>
        <w:ind w:left="104" w:right="-20"/>
        <w:rPr>
          <w:rFonts w:ascii="Arial" w:hAnsi="Arial" w:cs="Arial"/>
          <w:sz w:val="19"/>
        </w:rPr>
      </w:pPr>
    </w:p>
    <w:sectPr w:rsidR="005F10D2" w:rsidRPr="00FC17A9">
      <w:pgSz w:w="12240" w:h="15840"/>
      <w:pgMar w:top="1480" w:right="1720" w:bottom="280" w:left="1480" w:header="720" w:footer="720" w:gutter="0"/>
      <w:cols w:space="720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D6" w:rsidRDefault="00EF4BD6" w:rsidP="00F824A6">
      <w:r>
        <w:separator/>
      </w:r>
    </w:p>
  </w:endnote>
  <w:endnote w:type="continuationSeparator" w:id="0">
    <w:p w:rsidR="00EF4BD6" w:rsidRDefault="00EF4BD6" w:rsidP="00F8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D6" w:rsidRDefault="00EF4BD6" w:rsidP="00F824A6">
      <w:r>
        <w:separator/>
      </w:r>
    </w:p>
  </w:footnote>
  <w:footnote w:type="continuationSeparator" w:id="0">
    <w:p w:rsidR="00EF4BD6" w:rsidRDefault="00EF4BD6" w:rsidP="00F8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AE6"/>
    <w:rsid w:val="00034A00"/>
    <w:rsid w:val="000D3B3B"/>
    <w:rsid w:val="000E6236"/>
    <w:rsid w:val="001D1E9F"/>
    <w:rsid w:val="002D6A40"/>
    <w:rsid w:val="00396B4B"/>
    <w:rsid w:val="004229C3"/>
    <w:rsid w:val="004626F9"/>
    <w:rsid w:val="00514D53"/>
    <w:rsid w:val="00562FB7"/>
    <w:rsid w:val="0058383E"/>
    <w:rsid w:val="005E2E0C"/>
    <w:rsid w:val="005F10D2"/>
    <w:rsid w:val="006D1AE6"/>
    <w:rsid w:val="006F3159"/>
    <w:rsid w:val="007610AA"/>
    <w:rsid w:val="00790E80"/>
    <w:rsid w:val="007A0272"/>
    <w:rsid w:val="00A44266"/>
    <w:rsid w:val="00A94D4C"/>
    <w:rsid w:val="00B3270F"/>
    <w:rsid w:val="00B41C98"/>
    <w:rsid w:val="00B56FD9"/>
    <w:rsid w:val="00B86F2A"/>
    <w:rsid w:val="00C43BD3"/>
    <w:rsid w:val="00D00307"/>
    <w:rsid w:val="00DF5D4E"/>
    <w:rsid w:val="00EF4BD6"/>
    <w:rsid w:val="00F04DF1"/>
    <w:rsid w:val="00F13530"/>
    <w:rsid w:val="00F46588"/>
    <w:rsid w:val="00F824A6"/>
    <w:rsid w:val="00FB27E8"/>
    <w:rsid w:val="00FB6D39"/>
    <w:rsid w:val="00F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7F920EB3-0F05-4671-89C2-D5E1404D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2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4A6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F82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4A6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A1802F2F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2015-01-22T09:13:00Z</dcterms:created>
  <dcterms:modified xsi:type="dcterms:W3CDTF">2015-01-22T09:13:00Z</dcterms:modified>
</cp:coreProperties>
</file>