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7A" w:rsidRDefault="00F2657A" w:rsidP="00B06248">
      <w:pPr>
        <w:autoSpaceDE w:val="0"/>
        <w:autoSpaceDN w:val="0"/>
        <w:bidi/>
        <w:adjustRightInd w:val="0"/>
        <w:spacing w:before="1" w:line="90" w:lineRule="exact"/>
        <w:rPr>
          <w:sz w:val="9"/>
        </w:rPr>
      </w:pPr>
      <w:bookmarkStart w:id="0" w:name="_GoBack"/>
      <w:bookmarkEnd w:id="0"/>
    </w:p>
    <w:tbl>
      <w:tblPr>
        <w:bidiVisual/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260"/>
        <w:gridCol w:w="555"/>
        <w:gridCol w:w="4557"/>
      </w:tblGrid>
      <w:tr w:rsidR="00F2657A" w:rsidTr="00B0624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العنوان:</w:t>
            </w:r>
          </w:p>
        </w:tc>
        <w:tc>
          <w:tcPr>
            <w:tcW w:w="6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فهم الممارسة الجيدة في التوجيه في مكان العمل</w:t>
            </w:r>
          </w:p>
        </w:tc>
      </w:tr>
      <w:tr w:rsidR="00F2657A" w:rsidTr="00B0624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المستوى: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</w:tr>
      <w:tr w:rsidR="00F2657A" w:rsidTr="00B0624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قيمة الساعات المعتمدة: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</w:tr>
      <w:tr w:rsidR="00F2657A" w:rsidTr="00B06248">
        <w:trPr>
          <w:trHeight w:hRule="exact" w:val="73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709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ساعات التعلم الموجّه للوحدة: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</w:tr>
      <w:tr w:rsidR="00F2657A" w:rsidTr="00B06248">
        <w:trPr>
          <w:trHeight w:val="40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8B0945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حصيلة التعلم (</w:t>
            </w:r>
            <w:r w:rsidR="008B0945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سيكتسب</w:t>
            </w:r>
            <w:r w:rsidR="008B0945"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 xml:space="preserve">المتعلم </w:t>
            </w:r>
            <w:r w:rsidR="008B0945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  <w:lang w:bidi="ar"/>
              </w:rPr>
              <w:t>ما يلي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)</w:t>
            </w: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معايير التقييم (المتعلم يستطيع)</w:t>
            </w:r>
          </w:p>
        </w:tc>
      </w:tr>
      <w:tr w:rsidR="00F2657A" w:rsidTr="008D618C">
        <w:trPr>
          <w:trHeight w:val="2222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384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سياق التوجيه الفعّال في مكان العمل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1.1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1.4</w:t>
            </w: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30" w:right="300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الغرض من التوجيه في مكان العمل وتعريفه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29" w:right="734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دور المدرب الفعّال بمكان العمل ومسؤولياته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5" w:line="228" w:lineRule="exact"/>
              <w:ind w:left="129" w:right="268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وصف سلوكيات وسمات المدرب الفعال بمكان العمل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230" w:lineRule="exact"/>
              <w:ind w:left="129" w:right="6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قيام المدربين بالتعاقد على السرية وإدارتها بغرض التدريب بشكل أخلاقي</w:t>
            </w:r>
          </w:p>
        </w:tc>
      </w:tr>
      <w:tr w:rsidR="00F2657A" w:rsidTr="008D618C">
        <w:trPr>
          <w:trHeight w:hRule="exact" w:val="355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tabs>
                <w:tab w:val="left" w:pos="460"/>
              </w:tabs>
              <w:autoSpaceDE w:val="0"/>
              <w:autoSpaceDN w:val="0"/>
              <w:bidi/>
              <w:adjustRightInd w:val="0"/>
              <w:ind w:left="462" w:right="97" w:hanging="36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ab/>
              <w:t>فهم عملية التوجيه الفعّال في مكان العمل ومحتواها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9" w:line="240" w:lineRule="exact"/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00" w:lineRule="exact"/>
              <w:rPr>
                <w:sz w:val="20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9" w:line="240" w:lineRule="exact"/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43" w:right="-20"/>
            </w:pPr>
            <w:r>
              <w:rPr>
                <w:rFonts w:ascii="Arial" w:hAnsi="Arial"/>
                <w:sz w:val="20"/>
              </w:rPr>
              <w:t>2.4</w:t>
            </w: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7" w:line="220" w:lineRule="exact"/>
              <w:rPr>
                <w:sz w:val="2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39" w:lineRule="auto"/>
              <w:ind w:left="130" w:right="178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كيفية إدارة إحدى عمليات التوجيه التي تتفق مع الأهداف وتتبع نموذج تدريب بسيط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30" w:right="282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مجموعة الأدوات والأساليب التي يمكن استخدامها لدعم التوجيه الفعّال (بما في ذلك أدوات التشخيص والأدوات التي تستكشف تفضيلات التعلم)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39" w:lineRule="auto"/>
              <w:ind w:left="129" w:right="50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شرح أهمية الاحتفاظ بسجلات أساسية لنشاط التوجيه وما الذي يتعين أن تحتويه تلك السجلات</w:t>
            </w: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29" w:right="169"/>
              <w:jc w:val="both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التعرف على أي عوائق محتملة للتوجيه في مكان العمل وشرح الإستراتيجيات المناسبة للتغلب على تلك العوائق</w:t>
            </w:r>
          </w:p>
        </w:tc>
      </w:tr>
      <w:tr w:rsidR="00F2657A" w:rsidTr="00B06248">
        <w:trPr>
          <w:trHeight w:hRule="exact" w:val="540"/>
        </w:trPr>
        <w:tc>
          <w:tcPr>
            <w:tcW w:w="91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معلومات إضافية عن الوحدة</w:t>
            </w:r>
          </w:p>
        </w:tc>
      </w:tr>
      <w:tr w:rsidR="00F2657A" w:rsidTr="008D618C">
        <w:trPr>
          <w:trHeight w:hRule="exact" w:val="73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غرض الوحدة وهدفها (أهدافها)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47" w:lineRule="auto"/>
              <w:ind w:left="102" w:right="534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تمكين المتعلمين من فهم الممارسة الجيدة في التوجيه في مكان العمل.</w:t>
            </w:r>
          </w:p>
        </w:tc>
      </w:tr>
      <w:tr w:rsidR="00F2657A" w:rsidTr="00B06248">
        <w:trPr>
          <w:trHeight w:hRule="exact" w:val="540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تاريخ مراجعة الوحدة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</w:pP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Pr="008335AB" w:rsidRDefault="0065672A" w:rsidP="00F6168C">
            <w:pPr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 w:cs="Arial"/>
                <w:sz w:val="20"/>
                <w:szCs w:val="20"/>
                <w:rtl/>
                <w:lang w:bidi="ar-EG"/>
              </w:rPr>
            </w:pPr>
            <w:r w:rsidRPr="008335AB">
              <w:rPr>
                <w:rFonts w:ascii="Arial" w:hAnsi="Arial" w:cs="Arial"/>
                <w:sz w:val="20"/>
                <w:szCs w:val="20"/>
                <w:rtl/>
              </w:rPr>
              <w:t>31/3/2017</w:t>
            </w:r>
          </w:p>
        </w:tc>
      </w:tr>
      <w:tr w:rsidR="00F2657A" w:rsidTr="008D618C">
        <w:trPr>
          <w:trHeight w:val="1214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135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تفاصيل العلاقة بين الوحدة والمعايير المهنية الوطنية أو المعايير المهنية أو المناهج ذات الصلة (إذا كان ذلك ملائمًا)</w:t>
            </w:r>
          </w:p>
        </w:tc>
        <w:tc>
          <w:tcPr>
            <w:tcW w:w="5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061A43">
            <w:pPr>
              <w:autoSpaceDE w:val="0"/>
              <w:autoSpaceDN w:val="0"/>
              <w:bidi/>
              <w:adjustRightInd w:val="0"/>
              <w:spacing w:line="247" w:lineRule="auto"/>
              <w:ind w:left="102" w:right="17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روابط إلى التوجيه والإرشاد في المعايير المهنية الوطنية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NOS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) لعام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2012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: الوحدات أرقام 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CM01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CM02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و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CM04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و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 CM10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</w:p>
        </w:tc>
      </w:tr>
      <w:tr w:rsidR="00F2657A" w:rsidTr="00B06248">
        <w:trPr>
          <w:trHeight w:hRule="exact" w:val="979"/>
        </w:trPr>
        <w:tc>
          <w:tcPr>
            <w:tcW w:w="91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530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متطلبات التقييم أو دليله الاسترشادي المحدد من قبل قطاع أو هيئة تنظيمية (إذا كان ملائمًا)</w:t>
            </w:r>
          </w:p>
        </w:tc>
      </w:tr>
    </w:tbl>
    <w:p w:rsidR="00F2657A" w:rsidRDefault="00F2657A" w:rsidP="00B06248">
      <w:pPr>
        <w:bidi/>
        <w:sectPr w:rsidR="00F2657A" w:rsidSect="00110E72">
          <w:headerReference w:type="default" r:id="rId9"/>
          <w:type w:val="continuous"/>
          <w:pgSz w:w="12240" w:h="15840"/>
          <w:pgMar w:top="1360" w:right="1620" w:bottom="280" w:left="1220" w:header="0" w:footer="720" w:gutter="0"/>
          <w:cols w:space="720"/>
        </w:sectPr>
      </w:pPr>
    </w:p>
    <w:p w:rsidR="00F2657A" w:rsidRDefault="00F2657A" w:rsidP="00B06248">
      <w:pPr>
        <w:autoSpaceDE w:val="0"/>
        <w:autoSpaceDN w:val="0"/>
        <w:bidi/>
        <w:adjustRightInd w:val="0"/>
        <w:spacing w:before="9" w:line="90" w:lineRule="exact"/>
        <w:rPr>
          <w:sz w:val="9"/>
        </w:rPr>
      </w:pPr>
    </w:p>
    <w:tbl>
      <w:tblPr>
        <w:bidiVisual/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676"/>
        <w:gridCol w:w="5112"/>
      </w:tblGrid>
      <w:tr w:rsidR="00F2657A" w:rsidTr="008D618C">
        <w:trPr>
          <w:trHeight w:hRule="exact" w:val="105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492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دعم مقدم إلى الوحدة من قبل أحد مجالس قطاع تنمية المهارات أو هيئة أخرى معنية (عند الحاجة)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Pr="00B06248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خدمة تحسين المهارات والتعلم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LSIS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</w:t>
            </w:r>
          </w:p>
        </w:tc>
      </w:tr>
      <w:tr w:rsidR="00F2657A" w:rsidTr="008D618C">
        <w:trPr>
          <w:trHeight w:val="773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769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مبادئ المساواة المتفق عليها للوحدة (عند الحاجة)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F2657A" w:rsidRDefault="00F2657A" w:rsidP="00061A43">
            <w:pPr>
              <w:autoSpaceDE w:val="0"/>
              <w:autoSpaceDN w:val="0"/>
              <w:bidi/>
              <w:adjustRightInd w:val="0"/>
              <w:spacing w:line="247" w:lineRule="auto"/>
              <w:ind w:left="102" w:right="466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الوحدة رقم 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“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D3.01</w:t>
            </w:r>
            <w:r w:rsidR="00061A43">
              <w:rPr>
                <w:rFonts w:ascii="Arial" w:eastAsia="Arial" w:hAnsi="Arial" w:cs="Arial"/>
                <w:sz w:val="20"/>
                <w:szCs w:val="20"/>
                <w:lang w:bidi="ar"/>
              </w:rPr>
              <w:t>”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- فهم الممارسة الجيدة في التوجيه في مكان العمل</w:t>
            </w:r>
          </w:p>
        </w:tc>
      </w:tr>
      <w:tr w:rsidR="00F2657A" w:rsidTr="008D618C">
        <w:trPr>
          <w:trHeight w:val="73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130" w:lineRule="exact"/>
              <w:rPr>
                <w:sz w:val="13"/>
              </w:rPr>
            </w:pPr>
          </w:p>
          <w:p w:rsidR="00F2657A" w:rsidRDefault="00F2657A" w:rsidP="00061A43">
            <w:pPr>
              <w:autoSpaceDE w:val="0"/>
              <w:autoSpaceDN w:val="0"/>
              <w:bidi/>
              <w:adjustRightInd w:val="0"/>
              <w:spacing w:line="250" w:lineRule="auto"/>
              <w:ind w:left="102" w:right="79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موقع الوحدة داخل </w:t>
            </w:r>
            <w:r w:rsidR="00F6168C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موضوع/قسم</w:t>
            </w:r>
            <w:r w:rsidR="00F6168C"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نظام التصنيف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15.3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إدارة الأعمال</w:t>
            </w:r>
          </w:p>
        </w:tc>
      </w:tr>
      <w:tr w:rsidR="00F2657A" w:rsidTr="008D618C">
        <w:trPr>
          <w:trHeight w:val="716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spacing w:line="250" w:lineRule="auto"/>
              <w:ind w:left="102" w:right="368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اسم المؤسسة التي تقدم الوحدة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معهد القيادة والإدارة</w:t>
            </w:r>
          </w:p>
        </w:tc>
      </w:tr>
      <w:tr w:rsidR="00F2657A" w:rsidTr="00B06248">
        <w:trPr>
          <w:trHeight w:hRule="exact" w:val="540"/>
        </w:trPr>
        <w:tc>
          <w:tcPr>
            <w:tcW w:w="4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8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إمكانية الاستخدام</w:t>
            </w:r>
          </w:p>
        </w:tc>
        <w:tc>
          <w:tcPr>
            <w:tcW w:w="5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مقتصرة على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City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 &amp;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Guilds</w:t>
            </w:r>
          </w:p>
        </w:tc>
      </w:tr>
      <w:tr w:rsidR="00F2657A" w:rsidTr="00B06248">
        <w:trPr>
          <w:trHeight w:hRule="exact" w:val="540"/>
        </w:trPr>
        <w:tc>
          <w:tcPr>
            <w:tcW w:w="9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إرشادات إضافية حول الوحدة</w:t>
            </w:r>
          </w:p>
        </w:tc>
      </w:tr>
      <w:tr w:rsidR="00F2657A" w:rsidTr="00B06248">
        <w:trPr>
          <w:trHeight w:hRule="exact" w:val="540"/>
        </w:trPr>
        <w:tc>
          <w:tcPr>
            <w:tcW w:w="91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3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102" w:right="-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  <w:lang w:bidi="ar"/>
              </w:rPr>
              <w:t>المحتوى الدلالي:</w:t>
            </w:r>
          </w:p>
        </w:tc>
      </w:tr>
      <w:tr w:rsidR="00F2657A" w:rsidTr="008D618C">
        <w:trPr>
          <w:trHeight w:hRule="exact" w:val="5033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طبيعة التوجيه في مكان العمل ودوره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السلوكيات المطلوب من المدرب التحلي بها بمكان العمل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مهارات المدرب الفعّال بمكان العمل وقدراته وسماته الشخصية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التعاقد والسرية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أهداف تطويرية يمكن استيفاؤها من خلال التوجيه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5" w:line="230" w:lineRule="exact"/>
              <w:ind w:left="395" w:right="318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اتباع عملية توجيه فعّالة باستخدام نموذج معترف به (مثل نماذج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GROW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، أو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OSCAR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 xml:space="preserve">، أو 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ARROW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، أو ما شابه ذلك)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2" w:line="230" w:lineRule="exact"/>
              <w:ind w:left="395" w:right="162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كيف يُمنح المدرب السلطة من علاقة التوجيه، وما هي المسؤوليات المصاحبة لهذا الدور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6" w:line="228" w:lineRule="exact"/>
              <w:ind w:left="395" w:right="810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استكشاف المسؤوليات المنوط بها كل من المدرب والمدير المباشر، وكذلك الاختلافات والنزاعات المحتملة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7" w:line="228" w:lineRule="exact"/>
              <w:ind w:left="396" w:right="496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المساواة في العمل بين أفراد القوة العاملة التي تتسم بالتعددية، وطبيعة القيم والتوجهات واحتمالية سوء استخدام (السلطة مثلاً) أثناء عملية التوجيه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تعزيز مبدأ تكافؤ الفرص وتجنب الإساءة إلى علاقتهم مع الآخرين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التعاقد - الغرض والمحتوى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3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السرية في ممارسة التوجيه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9" w:line="228" w:lineRule="exact"/>
              <w:ind w:left="396" w:right="458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أهمية سجلات التوجيه وطبيعتها والغرض منها (النتائج التشخيصية، والأهداف التطويرية، وخطط التوجيه، وجلسات التوجيه، ومراجعات التقدم، وما إلى ذلك)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3" w:right="-20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سجلات ومنهجيات مراقبة التقدم</w:t>
            </w:r>
          </w:p>
        </w:tc>
      </w:tr>
      <w:tr w:rsidR="00F2657A" w:rsidTr="00B06248">
        <w:trPr>
          <w:trHeight w:hRule="exact" w:val="2878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6" w:line="120" w:lineRule="exact"/>
              <w:rPr>
                <w:sz w:val="12"/>
              </w:rPr>
            </w:pPr>
          </w:p>
          <w:p w:rsidR="00F2657A" w:rsidRDefault="00F2657A" w:rsidP="00B06248">
            <w:pPr>
              <w:autoSpaceDE w:val="0"/>
              <w:autoSpaceDN w:val="0"/>
              <w:bidi/>
              <w:adjustRightInd w:val="0"/>
              <w:ind w:left="98" w:right="81"/>
              <w:jc w:val="center"/>
            </w:pPr>
            <w:r>
              <w:rPr>
                <w:rFonts w:ascii="Arial" w:hAnsi="Arial"/>
                <w:w w:val="99"/>
                <w:sz w:val="20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657A" w:rsidRDefault="00F2657A" w:rsidP="00B06248">
            <w:pPr>
              <w:autoSpaceDE w:val="0"/>
              <w:autoSpaceDN w:val="0"/>
              <w:bidi/>
              <w:adjustRightInd w:val="0"/>
              <w:spacing w:before="1" w:line="240" w:lineRule="exact"/>
            </w:pP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أساليب التقييم والغرض منه (التقييم البنائي، التلخيصي، تقييم الكفاءة، المعرفة، وما إلى ذلك)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موارد التعلم المختلفة وقيمتها والمنشآت المتاحة لدعم التوجيه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خدمات دعم الوصول للتعلم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1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مجموعة من الموارد التي يمكن استخدامها في التوجيه وكيفية تحضيرها واستخدامها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4"/>
              <w:ind w:left="102" w:right="-20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المخطط التوضيحي والموقع الخاص بالبيئة التي يتم فيها التوجيه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5" w:line="230" w:lineRule="exact"/>
              <w:ind w:left="395" w:right="205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المخاطر والمجازفات المحتملة المصاحبة لبيئة التوجيه، ومسؤولية المدرب في ضمان وجود بيئة آمنة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6" w:line="228" w:lineRule="exact"/>
              <w:ind w:left="395" w:right="181" w:hanging="293"/>
              <w:rPr>
                <w:rFonts w:ascii="Arial" w:hAnsi="Arial"/>
                <w:sz w:val="20"/>
              </w:rPr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التعرف على احتياجات المتعلم التي تتجاوز كفاءة المدرب (المشكلات الشخصية أو الاجتماعية أو النفسية، صعوبات أو معوقات التعلم) وخدمات الدعم المتاحة</w:t>
            </w:r>
          </w:p>
          <w:p w:rsidR="00F2657A" w:rsidRDefault="00F2657A" w:rsidP="00B06248">
            <w:pPr>
              <w:tabs>
                <w:tab w:val="left" w:pos="380"/>
              </w:tabs>
              <w:autoSpaceDE w:val="0"/>
              <w:autoSpaceDN w:val="0"/>
              <w:bidi/>
              <w:adjustRightInd w:val="0"/>
              <w:spacing w:before="16" w:line="228" w:lineRule="exact"/>
              <w:ind w:left="395" w:right="125" w:hanging="293"/>
            </w:pPr>
            <w:r>
              <w:rPr>
                <w:rFonts w:cs="Arial"/>
                <w:sz w:val="20"/>
                <w:szCs w:val="20"/>
                <w:rtl/>
                <w:lang w:bidi="ar"/>
              </w:rPr>
              <w:t>•</w:t>
            </w:r>
            <w:r>
              <w:rPr>
                <w:rFonts w:cs="Arial"/>
                <w:sz w:val="20"/>
                <w:szCs w:val="20"/>
                <w:rtl/>
                <w:lang w:bidi="ar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أدوات تقييم لفهم واستكشاف التفضيلات في مكان العمل مثل أساليب التعلم ونموذج أساليب التعلم بالحواس البصرية والسمعية والحركية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VAK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). أسلوب بلبِن (</w:t>
            </w:r>
            <w:r>
              <w:rPr>
                <w:rFonts w:ascii="Arial" w:eastAsia="Arial" w:hAnsi="Arial" w:cs="Arial"/>
                <w:sz w:val="20"/>
                <w:szCs w:val="20"/>
                <w:lang w:bidi="ar"/>
              </w:rPr>
              <w:t>Belbin</w:t>
            </w:r>
            <w:r>
              <w:rPr>
                <w:rFonts w:ascii="Arial" w:eastAsia="Arial" w:hAnsi="Arial" w:cs="Arial"/>
                <w:sz w:val="20"/>
                <w:szCs w:val="20"/>
                <w:rtl/>
                <w:lang w:bidi="ar"/>
              </w:rPr>
              <w:t>)، والقيادة الموقفية، ومخزون مهارات التواصل بين الأشخاص، وأطر العمل</w:t>
            </w:r>
          </w:p>
        </w:tc>
      </w:tr>
    </w:tbl>
    <w:p w:rsidR="00F2657A" w:rsidRDefault="00F2657A" w:rsidP="00B06248">
      <w:pPr>
        <w:bidi/>
        <w:sectPr w:rsidR="00F2657A" w:rsidSect="00486EEF">
          <w:pgSz w:w="12240" w:h="15840"/>
          <w:pgMar w:top="1340" w:right="1620" w:bottom="280" w:left="1220" w:header="0" w:footer="720" w:gutter="0"/>
          <w:cols w:space="720"/>
          <w:docGrid w:linePitch="326"/>
        </w:sectPr>
      </w:pPr>
    </w:p>
    <w:p w:rsidR="00F2657A" w:rsidRDefault="00486EEF" w:rsidP="00AF644F">
      <w:pPr>
        <w:autoSpaceDE w:val="0"/>
        <w:autoSpaceDN w:val="0"/>
        <w:bidi/>
        <w:adjustRightInd w:val="0"/>
        <w:spacing w:before="67"/>
        <w:ind w:left="765" w:right="-20"/>
        <w:rPr>
          <w:rFonts w:ascii="Arial" w:hAnsi="Arial"/>
          <w:sz w:val="20"/>
        </w:rPr>
      </w:pPr>
      <w:r>
        <w:rPr>
          <w:noProof/>
        </w:rPr>
        <w:lastRenderedPageBreak/>
        <w:pict>
          <v:shape id="_x0000_s1029" style="position:absolute;left:0;text-align:left;margin-left:421.15pt;margin-top:3.45pt;width:1pt;height:133.25pt;z-index:-251657728" coordsize="20,3341" o:allowincell="f" path="m,l,3340e" filled="f" strokeweight=".58pt">
            <v:path arrowok="t"/>
          </v:shape>
        </w:pict>
      </w:r>
      <w:r>
        <w:rPr>
          <w:noProof/>
        </w:rPr>
        <w:pict>
          <v:shape id="_x0000_s1030" style="position:absolute;left:0;text-align:left;margin-left:439.6pt;margin-top:3.45pt;width:1pt;height:133.25pt;z-index:-251656704" coordsize="20,3341" o:allowincell="f" path="m,l,3340e" filled="f" strokeweight=".20494mm">
            <v:path arrowok="t"/>
          </v:shape>
        </w:pict>
      </w:r>
      <w:r>
        <w:rPr>
          <w:noProof/>
        </w:rPr>
        <w:pict>
          <v:shape id="_x0000_s1027" style="position:absolute;left:0;text-align:left;margin-left:-19.4pt;margin-top:3.45pt;width:1pt;height:133.25pt;z-index:-251659776" coordsize="20,3341" o:allowincell="f" path="m,l,3340e" filled="f" strokeweight=".58pt">
            <v:path arrowok="t"/>
          </v:shape>
        </w:pict>
      </w:r>
      <w:r>
        <w:rPr>
          <w:noProof/>
        </w:rPr>
        <w:pict>
          <v:shape id="_x0000_s1026" style="position:absolute;left:0;text-align:left;margin-left:-19.65pt;margin-top:3.2pt;width:459.45pt;height:0;z-index:-251660800" coordsize="9189,20" o:allowincell="f" path="m,l9189,e" filled="f" strokeweight=".20458mm">
            <v:path arrowok="t"/>
          </v:shape>
        </w:pict>
      </w:r>
      <w:r w:rsidR="00F2657A">
        <w:rPr>
          <w:rFonts w:ascii="Arial" w:eastAsia="Arial" w:hAnsi="Arial" w:cs="Arial"/>
          <w:sz w:val="20"/>
          <w:szCs w:val="20"/>
          <w:rtl/>
          <w:lang w:bidi="ar"/>
        </w:rPr>
        <w:t>الخاصة بالكفاءة، وحل النزاع، وما إلى ذلك.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20" w:line="228" w:lineRule="exact"/>
        <w:ind w:left="765" w:right="105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المعلومات التنظيمية وعلاقتها عند التوجيه، والوصف الوظيفي، والسلوكيات، وأطر العمل الخاصة بالكفاءة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1"/>
        <w:ind w:left="765" w:right="-20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مفهوم نماذج التعلم ونموذج عملي يستخدمه المدربون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4"/>
        <w:ind w:left="765" w:right="-20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استخدام احتياجات التعلم الملائمة وأدوات تقييم الأسلوب وتحليلها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1"/>
        <w:ind w:left="765" w:right="-20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منهج توجيه ملائم يتم استخدامه مع تفضيلات أسلوب تعلم مختلف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4"/>
        <w:ind w:left="765" w:right="-20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طبيعة الأهداف ونتائج التعلم والغرض منها وكذلك أفضل الممارسات الملائمة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6" w:line="228" w:lineRule="exact"/>
        <w:ind w:left="765" w:right="397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العوامل الشخصية التي تعيق الاستجابة إلى التوجيه (مثل التجارب السابقة، والتوقعات، والتوجهات موضع التدريب)</w:t>
      </w:r>
    </w:p>
    <w:p w:rsidR="00F2657A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1"/>
        <w:ind w:left="765" w:right="-20" w:hanging="266"/>
        <w:rPr>
          <w:rFonts w:ascii="Arial" w:hAnsi="Arial"/>
          <w:sz w:val="20"/>
        </w:rPr>
      </w:pPr>
      <w:r>
        <w:rPr>
          <w:rFonts w:cs="Arial"/>
          <w:sz w:val="20"/>
          <w:szCs w:val="20"/>
          <w:rtl/>
          <w:lang w:bidi="ar"/>
        </w:rPr>
        <w:t>•</w:t>
      </w:r>
      <w:r>
        <w:rPr>
          <w:rFonts w:cs="Arial"/>
          <w:sz w:val="20"/>
          <w:szCs w:val="20"/>
          <w:rtl/>
          <w:lang w:bidi="ar"/>
        </w:rPr>
        <w:tab/>
      </w:r>
      <w:r>
        <w:rPr>
          <w:rFonts w:ascii="Arial" w:eastAsia="Arial" w:hAnsi="Arial" w:cs="Arial"/>
          <w:sz w:val="20"/>
          <w:szCs w:val="20"/>
          <w:rtl/>
          <w:lang w:bidi="ar"/>
        </w:rPr>
        <w:t>إستراتيجيات التغلب على العوائق الشخصية التي تواجه التوجيه</w:t>
      </w:r>
    </w:p>
    <w:p w:rsidR="00F2657A" w:rsidRPr="00B06248" w:rsidRDefault="00F2657A" w:rsidP="00B06248">
      <w:pPr>
        <w:tabs>
          <w:tab w:val="left" w:pos="400"/>
        </w:tabs>
        <w:autoSpaceDE w:val="0"/>
        <w:autoSpaceDN w:val="0"/>
        <w:bidi/>
        <w:adjustRightInd w:val="0"/>
        <w:spacing w:before="19" w:line="228" w:lineRule="exact"/>
        <w:ind w:left="765" w:hanging="266"/>
        <w:rPr>
          <w:rFonts w:ascii="Arial" w:hAnsi="Arial"/>
          <w:spacing w:val="-2"/>
          <w:sz w:val="20"/>
        </w:rPr>
      </w:pPr>
      <w:r w:rsidRPr="00B06248">
        <w:rPr>
          <w:rFonts w:cs="Arial"/>
          <w:spacing w:val="-2"/>
          <w:sz w:val="20"/>
          <w:szCs w:val="20"/>
          <w:rtl/>
          <w:lang w:bidi="ar"/>
        </w:rPr>
        <w:t>•</w:t>
      </w:r>
      <w:r w:rsidRPr="00B06248">
        <w:rPr>
          <w:rFonts w:cs="Arial"/>
          <w:spacing w:val="-2"/>
          <w:sz w:val="20"/>
          <w:szCs w:val="20"/>
          <w:rtl/>
          <w:lang w:bidi="ar"/>
        </w:rPr>
        <w:tab/>
      </w:r>
      <w:r w:rsidRPr="00B06248">
        <w:rPr>
          <w:rFonts w:ascii="Arial" w:eastAsia="Arial" w:hAnsi="Arial" w:cs="Arial"/>
          <w:spacing w:val="-2"/>
          <w:sz w:val="20"/>
          <w:szCs w:val="20"/>
          <w:rtl/>
          <w:lang w:bidi="ar"/>
        </w:rPr>
        <w:t>العوائق العملية التي تواجه التوجيه في مكان العمل (البيئة المادية، والتوجهات الإدارية، والوقت، وضغوطات العمل، وما إلى ذلك)</w:t>
      </w:r>
    </w:p>
    <w:p w:rsidR="00F2657A" w:rsidRDefault="00486EEF" w:rsidP="00B06248">
      <w:pPr>
        <w:tabs>
          <w:tab w:val="left" w:pos="400"/>
        </w:tabs>
        <w:autoSpaceDE w:val="0"/>
        <w:autoSpaceDN w:val="0"/>
        <w:bidi/>
        <w:adjustRightInd w:val="0"/>
        <w:spacing w:before="11"/>
        <w:ind w:left="765" w:right="-20" w:hanging="266"/>
        <w:rPr>
          <w:rFonts w:ascii="Arial" w:hAnsi="Arial"/>
          <w:sz w:val="20"/>
        </w:rPr>
      </w:pPr>
      <w:r>
        <w:rPr>
          <w:rFonts w:cs="Arial"/>
          <w:noProof/>
          <w:sz w:val="20"/>
          <w:szCs w:val="20"/>
        </w:rPr>
        <w:pict>
          <v:shape id="_x0000_s1028" style="position:absolute;left:0;text-align:left;margin-left:-19.65pt;margin-top:24.3pt;width:459.45pt;height:0;z-index:-251658752" coordsize="9189,20" o:allowincell="f" path="m,l9189,e" filled="f" strokeweight=".20494mm">
            <v:path arrowok="t"/>
          </v:shape>
        </w:pict>
      </w:r>
      <w:r w:rsidR="00F2657A">
        <w:rPr>
          <w:rFonts w:cs="Arial"/>
          <w:sz w:val="20"/>
          <w:szCs w:val="20"/>
          <w:rtl/>
          <w:lang w:bidi="ar"/>
        </w:rPr>
        <w:t>•</w:t>
      </w:r>
      <w:r w:rsidR="00F2657A">
        <w:rPr>
          <w:rFonts w:cs="Arial"/>
          <w:sz w:val="20"/>
          <w:szCs w:val="20"/>
          <w:rtl/>
          <w:lang w:bidi="ar"/>
        </w:rPr>
        <w:tab/>
      </w:r>
      <w:r w:rsidR="00F2657A">
        <w:rPr>
          <w:rFonts w:ascii="Arial" w:eastAsia="Arial" w:hAnsi="Arial" w:cs="Arial"/>
          <w:sz w:val="20"/>
          <w:szCs w:val="20"/>
          <w:rtl/>
          <w:lang w:bidi="ar"/>
        </w:rPr>
        <w:t>إستراتيجيات التغلب على عوائق مكان العمل التي تواجه التوجيه (التفاوض، والمواقع البديلة، وما إلى ذلك)</w:t>
      </w:r>
    </w:p>
    <w:sectPr w:rsidR="00F2657A" w:rsidSect="00486EEF">
      <w:pgSz w:w="12240" w:h="15840"/>
      <w:pgMar w:top="1380" w:right="1720" w:bottom="280" w:left="1720" w:header="0" w:footer="720" w:gutter="0"/>
      <w:cols w:space="720" w:equalWidth="0">
        <w:col w:w="880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9A" w:rsidRDefault="007B349A" w:rsidP="00F013B3">
      <w:r>
        <w:separator/>
      </w:r>
    </w:p>
  </w:endnote>
  <w:endnote w:type="continuationSeparator" w:id="0">
    <w:p w:rsidR="007B349A" w:rsidRDefault="007B349A" w:rsidP="00F0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9A" w:rsidRDefault="007B349A" w:rsidP="00F013B3">
      <w:r>
        <w:separator/>
      </w:r>
    </w:p>
  </w:footnote>
  <w:footnote w:type="continuationSeparator" w:id="0">
    <w:p w:rsidR="007B349A" w:rsidRDefault="007B349A" w:rsidP="00F0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72" w:rsidRDefault="00486EEF" w:rsidP="00110E72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4098" type="#_x0000_t75" style="position:absolute;left:0;text-align:left;margin-left:378.85pt;margin-top:23.7pt;width:77.35pt;height:45.15pt;z-index:251659264;visibility:visible;mso-wrap-style:square;mso-position-horizontal-relative:text;mso-position-vertical-relative:text;mso-width-relative:page;mso-height-relative:page">
          <v:imagedata r:id="rId1" o:title="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SortMethod w:val="0000"/>
  <w:doNotTrackMoves/>
  <w:defaultTabStop w:val="720"/>
  <w:doNotShadeFormData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248"/>
    <w:rsid w:val="00061A43"/>
    <w:rsid w:val="00063756"/>
    <w:rsid w:val="00110E72"/>
    <w:rsid w:val="002B2CED"/>
    <w:rsid w:val="002C641F"/>
    <w:rsid w:val="002D171D"/>
    <w:rsid w:val="003F3067"/>
    <w:rsid w:val="00486EEF"/>
    <w:rsid w:val="0065672A"/>
    <w:rsid w:val="007B349A"/>
    <w:rsid w:val="008335AB"/>
    <w:rsid w:val="008B0945"/>
    <w:rsid w:val="008D618C"/>
    <w:rsid w:val="00AF644F"/>
    <w:rsid w:val="00B06248"/>
    <w:rsid w:val="00BB6EA3"/>
    <w:rsid w:val="00BF521E"/>
    <w:rsid w:val="00F013B3"/>
    <w:rsid w:val="00F2657A"/>
    <w:rsid w:val="00F6168C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5:chartTrackingRefBased/>
  <w15:docId w15:val="{254069C5-3B3F-4652-8006-91609DE6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72A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F013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13B3"/>
    <w:rPr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013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13B3"/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8362-21</TermName>
          <TermId xmlns="http://schemas.microsoft.com/office/infopath/2007/PartnerControls">0573df65-0c6e-44f2-9c53-90602fe2dab4</TermId>
        </TermInfo>
        <TermInfo xmlns="http://schemas.microsoft.com/office/infopath/2007/PartnerControls">
          <TermName xmlns="http://schemas.microsoft.com/office/infopath/2007/PartnerControls">8362-22</TermName>
          <TermId xmlns="http://schemas.microsoft.com/office/infopath/2007/PartnerControls">c8db5f8d-8bd3-4028-8331-227fb0856c0b</TermId>
        </TermInfo>
        <TermInfo xmlns="http://schemas.microsoft.com/office/infopath/2007/PartnerControls">
          <TermName xmlns="http://schemas.microsoft.com/office/infopath/2007/PartnerControls">8362-23</TermName>
          <TermId xmlns="http://schemas.microsoft.com/office/infopath/2007/PartnerControls">b19819f8-6d47-4a6c-9a60-595ab701c881</TermId>
        </TermInfo>
        <TermInfo xmlns="http://schemas.microsoft.com/office/infopath/2007/PartnerControls">
          <TermName xmlns="http://schemas.microsoft.com/office/infopath/2007/PartnerControls">8362-31</TermName>
          <TermId xmlns="http://schemas.microsoft.com/office/infopath/2007/PartnerControls">84e773b6-fd2e-4646-a79e-237fbcad2cb7</TermId>
        </TermInfo>
        <TermInfo xmlns="http://schemas.microsoft.com/office/infopath/2007/PartnerControls">
          <TermName xmlns="http://schemas.microsoft.com/office/infopath/2007/PartnerControls">8362-32</TermName>
          <TermId xmlns="http://schemas.microsoft.com/office/infopath/2007/PartnerControls">5ba9abbf-4b87-4d2b-a931-058de6144c02</TermId>
        </TermInfo>
        <TermInfo xmlns="http://schemas.microsoft.com/office/infopath/2007/PartnerControls">
          <TermName xmlns="http://schemas.microsoft.com/office/infopath/2007/PartnerControls">8362-33</TermName>
          <TermId xmlns="http://schemas.microsoft.com/office/infopath/2007/PartnerControls">bd7eccce-b4bc-4bd9-9fae-9ce8ddab2aac</TermId>
        </TermInfo>
        <TermInfo xmlns="http://schemas.microsoft.com/office/infopath/2007/PartnerControls">
          <TermName xmlns="http://schemas.microsoft.com/office/infopath/2007/PartnerControls">8362-34</TermName>
          <TermId xmlns="http://schemas.microsoft.com/office/infopath/2007/PartnerControls">7d08a464-3356-4cfc-adf1-edf49d4563e8</TermId>
        </TermInfo>
      </Terms>
    </j5a7449248d447e983365f9ccc7bf26f>
    <KpiDescription xmlns="http://schemas.microsoft.com/sharepoint/v3" xsi:nil="true"/>
    <TaxCatchAll xmlns="5f8ea682-3a42-454b-8035-422047e146b2">
      <Value>1264</Value>
      <Value>1263</Value>
      <Value>1852</Value>
      <Value>1270</Value>
      <Value>1269</Value>
      <Value>1268</Value>
      <Value>1267</Value>
      <Value>1266</Value>
      <Value>1265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8362-339</TermName>
          <TermId xmlns="http://schemas.microsoft.com/office/infopath/2007/PartnerControls">42774455-ba6a-4c6d-9b3d-7ab106645d14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8362</TermName>
          <TermId xmlns="http://schemas.microsoft.com/office/infopath/2007/PartnerControls">d87af7ce-f46f-4574-81a7-bfc5c3f78877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90485F3F-093F-4082-B33F-9960BD41C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556A0-790D-427B-90A0-D00609F00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C21CA-EB6A-4F69-B27D-945316B2B8DC}">
  <ds:schemaRefs>
    <ds:schemaRef ds:uri="5f8ea682-3a42-454b-8035-422047e146b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Arabic Translation - Understanding Good Practice in Workplace Coaching  </vt:lpstr>
    </vt:vector>
  </TitlesOfParts>
  <Company>Hewlett-Packard Company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Translation - Understanding Good Practice in Workplace Coaching</dc:title>
  <dc:subject/>
  <dc:creator>shalinis</dc:creator>
  <cp:keywords/>
  <cp:lastModifiedBy>Jurgita Baleviciute</cp:lastModifiedBy>
  <cp:revision>2</cp:revision>
  <cp:lastPrinted>1900-01-01T00:00:00Z</cp:lastPrinted>
  <dcterms:created xsi:type="dcterms:W3CDTF">2017-01-13T11:38:00Z</dcterms:created>
  <dcterms:modified xsi:type="dcterms:W3CDTF">2017-01-13T11:38:00Z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1852;#8362-339|42774455-ba6a-4c6d-9b3d-7ab106645d14</vt:lpwstr>
  </property>
  <property fmtid="{D5CDD505-2E9C-101B-9397-08002B2CF9AE}" pid="4" name="Family Code">
    <vt:lpwstr>1263;#8362|d87af7ce-f46f-4574-81a7-bfc5c3f78877</vt:lpwstr>
  </property>
  <property fmtid="{D5CDD505-2E9C-101B-9397-08002B2CF9AE}" pid="5" name="PoS">
    <vt:lpwstr>1264;#8362-21|0573df65-0c6e-44f2-9c53-90602fe2dab4;#1265;#8362-22|c8db5f8d-8bd3-4028-8331-227fb0856c0b;#1269;#8362-23|b19819f8-6d47-4a6c-9a60-595ab701c881;#1266;#8362-31|84e773b6-fd2e-4646-a79e-237fbcad2cb7;#1267;#8362-32|5ba9abbf-4b87-4d2b-a931-058de6144</vt:lpwstr>
  </property>
</Properties>
</file>