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D2EDD" w14:textId="77777777" w:rsidR="00DF7346" w:rsidRPr="00CB323A" w:rsidRDefault="00DF7346" w:rsidP="00DF7346">
      <w:pPr>
        <w:jc w:val="left"/>
        <w:rPr>
          <w:b/>
          <w:bCs/>
          <w:color w:val="FF0000"/>
          <w:sz w:val="24"/>
          <w:szCs w:val="24"/>
        </w:rPr>
      </w:pPr>
      <w:bookmarkStart w:id="0" w:name="_GoBack"/>
      <w:bookmarkEnd w:id="0"/>
      <w:r w:rsidRPr="00CB323A">
        <w:rPr>
          <w:b/>
          <w:bCs/>
          <w:sz w:val="24"/>
          <w:szCs w:val="24"/>
        </w:rPr>
        <w:t xml:space="preserve">Assignment Task for Unit: </w:t>
      </w:r>
      <w:r w:rsidR="00343398" w:rsidRPr="00343398">
        <w:rPr>
          <w:b/>
          <w:bCs/>
          <w:sz w:val="24"/>
          <w:szCs w:val="24"/>
        </w:rPr>
        <w:t>Understanding the context of coaching and mentoring in a strategic business environment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5"/>
        <w:gridCol w:w="218"/>
        <w:gridCol w:w="5159"/>
      </w:tblGrid>
      <w:tr w:rsidR="00DF7346" w:rsidRPr="002F67C8" w14:paraId="652D2EE0" w14:textId="77777777">
        <w:trPr>
          <w:trHeight w:val="397"/>
        </w:trPr>
        <w:tc>
          <w:tcPr>
            <w:tcW w:w="4235" w:type="dxa"/>
            <w:vAlign w:val="center"/>
          </w:tcPr>
          <w:p w14:paraId="652D2EDE" w14:textId="77777777" w:rsidR="00DF7346" w:rsidRPr="00586E16" w:rsidRDefault="00DF7346" w:rsidP="007D2CA9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77" w:type="dxa"/>
            <w:gridSpan w:val="2"/>
            <w:vAlign w:val="center"/>
          </w:tcPr>
          <w:p w14:paraId="652D2EDF" w14:textId="77777777" w:rsidR="00DF7346" w:rsidRPr="00586E16" w:rsidRDefault="00DF7346" w:rsidP="007D2CA9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F7346" w:rsidRPr="002F67C8" w14:paraId="652D2EE3" w14:textId="77777777">
        <w:trPr>
          <w:trHeight w:val="397"/>
        </w:trPr>
        <w:tc>
          <w:tcPr>
            <w:tcW w:w="4235" w:type="dxa"/>
            <w:vAlign w:val="center"/>
          </w:tcPr>
          <w:p w14:paraId="652D2EE1" w14:textId="77777777" w:rsidR="00DF7346" w:rsidRPr="00586E16" w:rsidRDefault="00DF7346" w:rsidP="007D2CA9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77" w:type="dxa"/>
            <w:gridSpan w:val="2"/>
            <w:vAlign w:val="center"/>
          </w:tcPr>
          <w:p w14:paraId="652D2EE2" w14:textId="77777777" w:rsidR="00DF7346" w:rsidRPr="00586E16" w:rsidRDefault="00DF7346" w:rsidP="007D2CA9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F7346" w:rsidRPr="002F67C8" w14:paraId="652D2EF8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652D2EE4" w14:textId="77777777" w:rsidR="00DF7346" w:rsidRDefault="00DF7346" w:rsidP="007D2CA9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52D2EE5" w14:textId="77777777" w:rsidR="00DF7346" w:rsidRDefault="00DF7346" w:rsidP="007D2CA9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TASK</w:t>
            </w:r>
          </w:p>
          <w:p w14:paraId="652D2EE6" w14:textId="77777777" w:rsidR="00DF7346" w:rsidRDefault="00DF7346" w:rsidP="007D2CA9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52D2EE7" w14:textId="77777777" w:rsidR="0079545F" w:rsidRPr="0079545F" w:rsidRDefault="0079545F" w:rsidP="0079545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79545F">
              <w:rPr>
                <w:rFonts w:cs="Times New Roman"/>
                <w:bCs/>
                <w:sz w:val="20"/>
                <w:szCs w:val="20"/>
              </w:rPr>
              <w:t>This assignment asks you to demonstrate your understanding of the context in which effective coaching or mentoring operates.</w:t>
            </w:r>
          </w:p>
          <w:p w14:paraId="652D2EE8" w14:textId="77777777" w:rsidR="0079545F" w:rsidRPr="0079545F" w:rsidRDefault="0079545F" w:rsidP="0079545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  <w:p w14:paraId="652D2EE9" w14:textId="77777777" w:rsidR="0079545F" w:rsidRPr="0079545F" w:rsidRDefault="0079545F" w:rsidP="0079545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79545F">
              <w:rPr>
                <w:rFonts w:cs="Times New Roman"/>
                <w:bCs/>
                <w:sz w:val="20"/>
                <w:szCs w:val="20"/>
              </w:rPr>
              <w:t>You should demonstrate understanding of the strategic and operational issues relating to coaching and mentoring for individuals and organisations.</w:t>
            </w:r>
          </w:p>
          <w:p w14:paraId="652D2EEA" w14:textId="77777777" w:rsidR="0079545F" w:rsidRPr="0079545F" w:rsidRDefault="0079545F" w:rsidP="0079545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  <w:p w14:paraId="652D2EEB" w14:textId="77777777" w:rsidR="0079545F" w:rsidRPr="0079545F" w:rsidRDefault="0079545F" w:rsidP="0079545F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79545F">
              <w:rPr>
                <w:rFonts w:cs="Times New Roman"/>
                <w:color w:val="000000"/>
                <w:sz w:val="20"/>
                <w:szCs w:val="20"/>
              </w:rPr>
              <w:t xml:space="preserve">This assessment should take the form of a research project </w:t>
            </w:r>
            <w:r w:rsidRPr="0079545F">
              <w:rPr>
                <w:rFonts w:cs="Times New Roman"/>
                <w:iCs/>
                <w:color w:val="000000"/>
                <w:sz w:val="20"/>
                <w:szCs w:val="20"/>
              </w:rPr>
              <w:t xml:space="preserve">including and critically analysing substantial academic and organisational secondary information to answer the assessment tasks </w:t>
            </w:r>
            <w:r w:rsidRPr="0079545F">
              <w:rPr>
                <w:rFonts w:cs="Times New Roman"/>
                <w:color w:val="000000"/>
                <w:sz w:val="20"/>
                <w:szCs w:val="20"/>
              </w:rPr>
              <w:t>examining:</w:t>
            </w:r>
          </w:p>
          <w:p w14:paraId="652D2EEC" w14:textId="77777777" w:rsidR="0079545F" w:rsidRPr="0079545F" w:rsidRDefault="0079545F" w:rsidP="0079545F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ind w:left="3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</w:t>
            </w:r>
            <w:r w:rsidRPr="0079545F">
              <w:rPr>
                <w:rFonts w:cs="Times New Roman"/>
                <w:color w:val="000000"/>
                <w:sz w:val="20"/>
                <w:szCs w:val="20"/>
              </w:rPr>
              <w:t>he context of coaching and mentoring within organisations</w:t>
            </w:r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79545F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14:paraId="652D2EED" w14:textId="77777777" w:rsidR="0079545F" w:rsidRPr="0079545F" w:rsidRDefault="0079545F" w:rsidP="0079545F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ind w:left="3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</w:t>
            </w:r>
            <w:r w:rsidRPr="0079545F">
              <w:rPr>
                <w:rFonts w:cs="Times New Roman"/>
                <w:color w:val="000000"/>
                <w:sz w:val="20"/>
                <w:szCs w:val="20"/>
              </w:rPr>
              <w:t>ifferent applic</w:t>
            </w:r>
            <w:r>
              <w:rPr>
                <w:rFonts w:cs="Times New Roman"/>
                <w:color w:val="000000"/>
                <w:sz w:val="20"/>
                <w:szCs w:val="20"/>
              </w:rPr>
              <w:t>ations of coaching and mentoring.</w:t>
            </w:r>
            <w:r w:rsidRPr="0079545F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14:paraId="652D2EEE" w14:textId="77777777" w:rsidR="0079545F" w:rsidRPr="0079545F" w:rsidRDefault="0079545F" w:rsidP="0079545F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ind w:left="3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</w:t>
            </w:r>
            <w:r w:rsidRPr="0079545F">
              <w:rPr>
                <w:rFonts w:cs="Times New Roman"/>
                <w:color w:val="000000"/>
                <w:sz w:val="20"/>
                <w:szCs w:val="20"/>
              </w:rPr>
              <w:t>he conditions, skills and practice for coaching at a senior and strategic level</w:t>
            </w:r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  <w:p w14:paraId="652D2EEF" w14:textId="77777777" w:rsidR="0079545F" w:rsidRPr="0079545F" w:rsidRDefault="0079545F" w:rsidP="0079545F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ind w:left="3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</w:t>
            </w:r>
            <w:r w:rsidRPr="0079545F">
              <w:rPr>
                <w:rFonts w:cs="Times New Roman"/>
                <w:color w:val="000000"/>
                <w:sz w:val="20"/>
                <w:szCs w:val="20"/>
              </w:rPr>
              <w:t>he contribution of effective coaching and mentoring on organisational performance.</w:t>
            </w:r>
          </w:p>
          <w:p w14:paraId="652D2EF0" w14:textId="77777777" w:rsidR="0079545F" w:rsidRPr="0079545F" w:rsidRDefault="0079545F" w:rsidP="0079545F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52D2EF1" w14:textId="77777777" w:rsidR="0079545F" w:rsidRPr="0079545F" w:rsidRDefault="0079545F" w:rsidP="0079545F">
            <w:pPr>
              <w:jc w:val="left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79545F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The case can be either “forward looking” or “backward looking”.</w:t>
            </w:r>
          </w:p>
          <w:p w14:paraId="652D2EF2" w14:textId="77777777" w:rsidR="00DF7346" w:rsidRDefault="00DF7346" w:rsidP="00DF7346">
            <w:pPr>
              <w:jc w:val="left"/>
              <w:rPr>
                <w:sz w:val="20"/>
                <w:szCs w:val="20"/>
              </w:rPr>
            </w:pPr>
          </w:p>
          <w:p w14:paraId="652D2EF3" w14:textId="77777777" w:rsidR="00DF7346" w:rsidRDefault="00DF7346" w:rsidP="00DF7346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</w:p>
          <w:p w14:paraId="652D2EF4" w14:textId="77777777" w:rsidR="00DF7346" w:rsidRDefault="00DF7346" w:rsidP="00DF7346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You should plan to spend approximately </w:t>
            </w:r>
            <w:r w:rsidR="006C42F8">
              <w:rPr>
                <w:i/>
                <w:iCs/>
                <w:sz w:val="20"/>
                <w:szCs w:val="20"/>
              </w:rPr>
              <w:t>28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hours researching your workplace context, preparing for and writing or presenting the outcomes of this assignment for assessment.</w:t>
            </w:r>
            <w:r w:rsidR="00C06CA7">
              <w:rPr>
                <w:i/>
                <w:iCs/>
                <w:sz w:val="20"/>
                <w:szCs w:val="20"/>
              </w:rPr>
              <w:t xml:space="preserve"> </w:t>
            </w:r>
            <w:r w:rsidR="00C06CA7" w:rsidRPr="00350686">
              <w:rPr>
                <w:i/>
                <w:iCs/>
                <w:sz w:val="20"/>
                <w:szCs w:val="20"/>
              </w:rPr>
              <w:t xml:space="preserve">The suggested </w:t>
            </w:r>
            <w:r w:rsidR="00C06CA7">
              <w:rPr>
                <w:i/>
                <w:iCs/>
                <w:sz w:val="20"/>
                <w:szCs w:val="20"/>
              </w:rPr>
              <w:t xml:space="preserve">word count for this assignment </w:t>
            </w:r>
            <w:r w:rsidR="00C06CA7" w:rsidRPr="00350686">
              <w:rPr>
                <w:i/>
                <w:iCs/>
                <w:sz w:val="20"/>
                <w:szCs w:val="20"/>
              </w:rPr>
              <w:t xml:space="preserve">is between </w:t>
            </w:r>
            <w:r w:rsidR="007135B4">
              <w:rPr>
                <w:i/>
                <w:iCs/>
                <w:sz w:val="20"/>
                <w:szCs w:val="20"/>
              </w:rPr>
              <w:t>4000 - 5000</w:t>
            </w:r>
            <w:r w:rsidR="00C06CA7" w:rsidRPr="00350686">
              <w:rPr>
                <w:i/>
                <w:iCs/>
                <w:sz w:val="20"/>
                <w:szCs w:val="20"/>
              </w:rPr>
              <w:t xml:space="preserve"> words.</w:t>
            </w:r>
            <w:r w:rsidRPr="00350686">
              <w:rPr>
                <w:i/>
                <w:iCs/>
                <w:sz w:val="20"/>
                <w:szCs w:val="20"/>
              </w:rPr>
              <w:t xml:space="preserve"> However individuals have different writing styles, and there is no penalty if the word-count range is exceeded.</w:t>
            </w:r>
          </w:p>
          <w:p w14:paraId="652D2EF5" w14:textId="77777777" w:rsidR="00DF7346" w:rsidRDefault="00DF7346" w:rsidP="007D2CA9">
            <w:pPr>
              <w:jc w:val="left"/>
              <w:rPr>
                <w:i/>
                <w:iCs/>
                <w:sz w:val="20"/>
                <w:szCs w:val="20"/>
              </w:rPr>
            </w:pPr>
          </w:p>
          <w:p w14:paraId="652D2EF6" w14:textId="77777777" w:rsidR="00DF7346" w:rsidRPr="00E726B7" w:rsidRDefault="00DF7346" w:rsidP="007D2CA9">
            <w:pPr>
              <w:jc w:val="left"/>
              <w:rPr>
                <w:i/>
                <w:iCs/>
                <w:sz w:val="20"/>
                <w:szCs w:val="20"/>
              </w:rPr>
            </w:pPr>
            <w:r w:rsidRPr="00E726B7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14:paraId="652D2EF7" w14:textId="77777777" w:rsidR="00DF7346" w:rsidRPr="002F67C8" w:rsidRDefault="00DF7346" w:rsidP="007D2CA9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DF7346" w:rsidRPr="002F67C8" w14:paraId="652D2EFB" w14:textId="77777777">
        <w:trPr>
          <w:trHeight w:val="397"/>
        </w:trPr>
        <w:tc>
          <w:tcPr>
            <w:tcW w:w="4453" w:type="dxa"/>
            <w:gridSpan w:val="2"/>
            <w:vAlign w:val="center"/>
          </w:tcPr>
          <w:p w14:paraId="652D2EF9" w14:textId="77777777" w:rsidR="00DF7346" w:rsidRPr="002F67C8" w:rsidRDefault="00DF7346" w:rsidP="007D2CA9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 xml:space="preserve">Please use the </w:t>
            </w:r>
            <w:r>
              <w:rPr>
                <w:i/>
                <w:iCs/>
                <w:sz w:val="20"/>
                <w:szCs w:val="20"/>
              </w:rPr>
              <w:t>sub-</w:t>
            </w:r>
            <w:r w:rsidRPr="002F67C8">
              <w:rPr>
                <w:i/>
                <w:iCs/>
                <w:sz w:val="20"/>
                <w:szCs w:val="20"/>
              </w:rPr>
              <w:t xml:space="preserve">headings shown below when </w:t>
            </w:r>
            <w:r>
              <w:rPr>
                <w:i/>
                <w:iCs/>
                <w:sz w:val="20"/>
                <w:szCs w:val="20"/>
              </w:rPr>
              <w:t>structuring</w:t>
            </w:r>
            <w:r w:rsidRPr="002F67C8">
              <w:rPr>
                <w:i/>
                <w:iCs/>
                <w:sz w:val="20"/>
                <w:szCs w:val="20"/>
              </w:rPr>
              <w:t xml:space="preserve"> your Assignment</w:t>
            </w:r>
          </w:p>
        </w:tc>
        <w:tc>
          <w:tcPr>
            <w:tcW w:w="5159" w:type="dxa"/>
            <w:vAlign w:val="center"/>
          </w:tcPr>
          <w:p w14:paraId="652D2EFA" w14:textId="77777777" w:rsidR="00DF7346" w:rsidRPr="006025D1" w:rsidRDefault="00DF7346" w:rsidP="007D2CA9">
            <w:pPr>
              <w:jc w:val="center"/>
              <w:rPr>
                <w:sz w:val="20"/>
                <w:szCs w:val="20"/>
              </w:rPr>
            </w:pPr>
            <w:r w:rsidRPr="006025D1">
              <w:rPr>
                <w:sz w:val="20"/>
                <w:szCs w:val="20"/>
              </w:rPr>
              <w:t>Assessment Criteria</w:t>
            </w:r>
          </w:p>
        </w:tc>
      </w:tr>
      <w:tr w:rsidR="00C06CA7" w:rsidRPr="002F67C8" w14:paraId="652D2F05" w14:textId="77777777">
        <w:trPr>
          <w:trHeight w:val="397"/>
        </w:trPr>
        <w:tc>
          <w:tcPr>
            <w:tcW w:w="4453" w:type="dxa"/>
            <w:gridSpan w:val="2"/>
          </w:tcPr>
          <w:p w14:paraId="652D2EFC" w14:textId="77777777" w:rsidR="007135B4" w:rsidRPr="007135B4" w:rsidRDefault="007135B4" w:rsidP="007135B4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7135B4">
              <w:rPr>
                <w:rFonts w:cs="Times New Roman"/>
                <w:b/>
                <w:bCs/>
                <w:sz w:val="20"/>
                <w:szCs w:val="20"/>
              </w:rPr>
              <w:t>Establish the organisational context, strategy, culture and processes for coaching or mentoring at a senior level</w:t>
            </w:r>
          </w:p>
          <w:p w14:paraId="652D2EFD" w14:textId="77777777" w:rsidR="00C06CA7" w:rsidRPr="009E761E" w:rsidRDefault="00C06CA7" w:rsidP="00BF59AE">
            <w:pPr>
              <w:jc w:val="left"/>
              <w:rPr>
                <w:sz w:val="20"/>
                <w:szCs w:val="20"/>
              </w:rPr>
            </w:pPr>
          </w:p>
          <w:p w14:paraId="652D2EFE" w14:textId="77777777" w:rsidR="00C06CA7" w:rsidRPr="00AE4A46" w:rsidRDefault="00C06CA7" w:rsidP="00BF59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14:paraId="652D2EFF" w14:textId="77777777" w:rsidR="00CC4A86" w:rsidRDefault="00CC4A86" w:rsidP="00CC4A86">
            <w:pPr>
              <w:pStyle w:val="Header"/>
              <w:jc w:val="left"/>
            </w:pPr>
          </w:p>
          <w:p w14:paraId="652D2F00" w14:textId="77777777" w:rsidR="0001185E" w:rsidRPr="0001185E" w:rsidRDefault="0001185E" w:rsidP="0001185E">
            <w:pPr>
              <w:numPr>
                <w:ilvl w:val="0"/>
                <w:numId w:val="7"/>
              </w:numPr>
              <w:tabs>
                <w:tab w:val="clear" w:pos="720"/>
                <w:tab w:val="num" w:pos="225"/>
                <w:tab w:val="center" w:pos="4153"/>
                <w:tab w:val="right" w:pos="8306"/>
              </w:tabs>
              <w:ind w:left="225" w:hanging="225"/>
              <w:jc w:val="left"/>
              <w:rPr>
                <w:sz w:val="20"/>
                <w:szCs w:val="20"/>
              </w:rPr>
            </w:pPr>
            <w:r w:rsidRPr="0001185E">
              <w:rPr>
                <w:sz w:val="20"/>
                <w:szCs w:val="20"/>
              </w:rPr>
              <w:t>Define and differentiate between the different focus, roles, processes and environment for the two different disciplines of coaching and mentoring</w:t>
            </w:r>
            <w:r w:rsidR="003D4334">
              <w:rPr>
                <w:sz w:val="20"/>
                <w:szCs w:val="20"/>
              </w:rPr>
              <w:t xml:space="preserve"> </w:t>
            </w:r>
            <w:r w:rsidR="003D4334" w:rsidRPr="0065188C">
              <w:rPr>
                <w:bCs/>
                <w:sz w:val="20"/>
              </w:rPr>
              <w:t>(</w:t>
            </w:r>
            <w:r w:rsidR="003D4334">
              <w:rPr>
                <w:bCs/>
                <w:i/>
                <w:sz w:val="20"/>
              </w:rPr>
              <w:t>12</w:t>
            </w:r>
            <w:r w:rsidR="003D4334" w:rsidRPr="0065188C">
              <w:rPr>
                <w:bCs/>
                <w:i/>
                <w:sz w:val="20"/>
              </w:rPr>
              <w:t xml:space="preserve"> marks)</w:t>
            </w:r>
          </w:p>
          <w:p w14:paraId="652D2F01" w14:textId="77777777" w:rsidR="0001185E" w:rsidRPr="0001185E" w:rsidRDefault="0001185E" w:rsidP="0001185E">
            <w:pPr>
              <w:numPr>
                <w:ilvl w:val="0"/>
                <w:numId w:val="7"/>
              </w:numPr>
              <w:tabs>
                <w:tab w:val="clear" w:pos="720"/>
                <w:tab w:val="num" w:pos="225"/>
                <w:tab w:val="center" w:pos="4153"/>
                <w:tab w:val="right" w:pos="8306"/>
              </w:tabs>
              <w:ind w:left="225" w:hanging="225"/>
              <w:jc w:val="left"/>
              <w:rPr>
                <w:sz w:val="20"/>
                <w:szCs w:val="20"/>
              </w:rPr>
            </w:pPr>
            <w:r w:rsidRPr="0001185E">
              <w:rPr>
                <w:sz w:val="20"/>
                <w:szCs w:val="20"/>
              </w:rPr>
              <w:t>Critically review the organisational context, strategy, characteristics, culture and conditions for effective coaching or mentoring</w:t>
            </w:r>
            <w:r w:rsidR="003D4334">
              <w:rPr>
                <w:sz w:val="20"/>
                <w:szCs w:val="20"/>
              </w:rPr>
              <w:t xml:space="preserve"> </w:t>
            </w:r>
            <w:r w:rsidR="003D4334" w:rsidRPr="003D4334">
              <w:rPr>
                <w:bCs/>
                <w:i/>
                <w:sz w:val="20"/>
              </w:rPr>
              <w:t>(8 marks)</w:t>
            </w:r>
          </w:p>
          <w:p w14:paraId="652D2F02" w14:textId="77777777" w:rsidR="0001185E" w:rsidRPr="0001185E" w:rsidRDefault="0001185E" w:rsidP="0001185E">
            <w:pPr>
              <w:numPr>
                <w:ilvl w:val="0"/>
                <w:numId w:val="7"/>
              </w:numPr>
              <w:tabs>
                <w:tab w:val="clear" w:pos="720"/>
                <w:tab w:val="num" w:pos="225"/>
                <w:tab w:val="center" w:pos="4153"/>
                <w:tab w:val="right" w:pos="8306"/>
              </w:tabs>
              <w:ind w:left="225" w:hanging="225"/>
              <w:jc w:val="left"/>
              <w:rPr>
                <w:sz w:val="20"/>
                <w:szCs w:val="20"/>
              </w:rPr>
            </w:pPr>
            <w:r w:rsidRPr="0001185E">
              <w:rPr>
                <w:sz w:val="20"/>
                <w:szCs w:val="20"/>
              </w:rPr>
              <w:t>Evaluate alternative organisational strategies other than coaching or mentoring</w:t>
            </w:r>
            <w:r w:rsidR="003D4334">
              <w:rPr>
                <w:sz w:val="20"/>
                <w:szCs w:val="20"/>
              </w:rPr>
              <w:t xml:space="preserve"> </w:t>
            </w:r>
            <w:r w:rsidR="003D4334" w:rsidRPr="003D4334">
              <w:rPr>
                <w:bCs/>
                <w:i/>
                <w:sz w:val="20"/>
              </w:rPr>
              <w:t>(8 marks)</w:t>
            </w:r>
          </w:p>
          <w:p w14:paraId="652D2F03" w14:textId="77777777" w:rsidR="0001185E" w:rsidRPr="0001185E" w:rsidRDefault="0001185E" w:rsidP="0001185E">
            <w:pPr>
              <w:framePr w:hSpace="180" w:wrap="around" w:vAnchor="page" w:hAnchor="margin" w:y="1741"/>
              <w:numPr>
                <w:ilvl w:val="0"/>
                <w:numId w:val="7"/>
              </w:numPr>
              <w:tabs>
                <w:tab w:val="clear" w:pos="720"/>
                <w:tab w:val="num" w:pos="225"/>
                <w:tab w:val="center" w:pos="4153"/>
                <w:tab w:val="right" w:pos="8306"/>
              </w:tabs>
              <w:ind w:left="225" w:hanging="225"/>
              <w:jc w:val="left"/>
              <w:rPr>
                <w:sz w:val="20"/>
                <w:szCs w:val="20"/>
              </w:rPr>
            </w:pPr>
            <w:r w:rsidRPr="0001185E">
              <w:rPr>
                <w:sz w:val="20"/>
                <w:szCs w:val="20"/>
              </w:rPr>
              <w:t>Determine the factors which impact on how coaching or mentoring are integrated at a senior, strategic and organisational level</w:t>
            </w:r>
            <w:r w:rsidR="003D4334">
              <w:rPr>
                <w:sz w:val="20"/>
                <w:szCs w:val="20"/>
              </w:rPr>
              <w:t xml:space="preserve"> </w:t>
            </w:r>
            <w:r w:rsidR="003D4334" w:rsidRPr="003D4334">
              <w:rPr>
                <w:bCs/>
                <w:i/>
                <w:sz w:val="20"/>
              </w:rPr>
              <w:t>(8 marks)</w:t>
            </w:r>
          </w:p>
          <w:p w14:paraId="652D2F04" w14:textId="77777777" w:rsidR="00AC64EF" w:rsidRPr="00D92A40" w:rsidRDefault="00AC64EF" w:rsidP="00AC64EF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</w:tc>
      </w:tr>
      <w:tr w:rsidR="00C06CA7" w:rsidRPr="002F67C8" w14:paraId="652D2F11" w14:textId="77777777">
        <w:trPr>
          <w:trHeight w:val="397"/>
        </w:trPr>
        <w:tc>
          <w:tcPr>
            <w:tcW w:w="4453" w:type="dxa"/>
            <w:gridSpan w:val="2"/>
          </w:tcPr>
          <w:p w14:paraId="652D2F06" w14:textId="77777777" w:rsidR="007135B4" w:rsidRPr="007135B4" w:rsidRDefault="007135B4" w:rsidP="007135B4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7135B4">
              <w:rPr>
                <w:rFonts w:cs="Times New Roman"/>
                <w:b/>
                <w:bCs/>
                <w:sz w:val="20"/>
                <w:szCs w:val="20"/>
              </w:rPr>
              <w:t>Comparing and contrasting different approaches to coaching or mentoring</w:t>
            </w:r>
          </w:p>
          <w:p w14:paraId="652D2F07" w14:textId="77777777" w:rsidR="007135B4" w:rsidRPr="007135B4" w:rsidRDefault="007135B4" w:rsidP="007135B4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  <w:p w14:paraId="652D2F08" w14:textId="77777777" w:rsidR="007135B4" w:rsidRPr="007135B4" w:rsidRDefault="007135B4" w:rsidP="007135B4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7135B4">
              <w:rPr>
                <w:rFonts w:cs="Times New Roman"/>
                <w:bCs/>
                <w:sz w:val="20"/>
                <w:szCs w:val="20"/>
              </w:rPr>
              <w:t xml:space="preserve">In this section you are expected to define and discuss the variety of different approaches to the different disciplines (coaching or mentoring) including the difficulties in defining approaches </w:t>
            </w:r>
            <w:r w:rsidRPr="007135B4">
              <w:rPr>
                <w:rFonts w:cs="Times New Roman"/>
                <w:bCs/>
                <w:sz w:val="20"/>
                <w:szCs w:val="20"/>
              </w:rPr>
              <w:lastRenderedPageBreak/>
              <w:t xml:space="preserve">and techniques and the challenges operating in practice. </w:t>
            </w:r>
          </w:p>
          <w:p w14:paraId="652D2F09" w14:textId="77777777" w:rsidR="007135B4" w:rsidRPr="007135B4" w:rsidRDefault="007135B4" w:rsidP="007135B4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  <w:p w14:paraId="652D2F0A" w14:textId="77777777" w:rsidR="007135B4" w:rsidRPr="007135B4" w:rsidRDefault="007135B4" w:rsidP="007135B4">
            <w:pPr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7135B4">
              <w:rPr>
                <w:rFonts w:cs="Times New Roman"/>
                <w:bCs/>
                <w:i/>
                <w:sz w:val="20"/>
                <w:szCs w:val="20"/>
              </w:rPr>
              <w:t>N.B: For example, defining the differences between executive coaching and executive mentoring and the complexities of operating within organisations and ensuring clarity of approach with clients.</w:t>
            </w:r>
          </w:p>
          <w:p w14:paraId="652D2F0B" w14:textId="77777777" w:rsidR="007135B4" w:rsidRPr="007135B4" w:rsidRDefault="007135B4" w:rsidP="007135B4">
            <w:pPr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</w:p>
          <w:p w14:paraId="652D2F0C" w14:textId="77777777" w:rsidR="00C06CA7" w:rsidRDefault="007135B4" w:rsidP="007135B4">
            <w:pPr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7135B4">
              <w:rPr>
                <w:rFonts w:cs="Times New Roman"/>
                <w:bCs/>
                <w:i/>
                <w:sz w:val="20"/>
                <w:szCs w:val="20"/>
              </w:rPr>
              <w:t xml:space="preserve">This section will also be useful when you come to build your profile (which includes explaining your own approach) as part of </w:t>
            </w:r>
            <w:r>
              <w:rPr>
                <w:rFonts w:cs="Times New Roman"/>
                <w:bCs/>
                <w:i/>
                <w:sz w:val="20"/>
                <w:szCs w:val="20"/>
              </w:rPr>
              <w:t>the unit ‘</w:t>
            </w:r>
            <w:r w:rsidRPr="007135B4">
              <w:rPr>
                <w:rFonts w:cs="Times New Roman"/>
                <w:bCs/>
                <w:i/>
                <w:sz w:val="20"/>
                <w:szCs w:val="20"/>
              </w:rPr>
              <w:t>Reflecting on your own ability to perform effectively as a coach or mentor practicing at a senior level</w:t>
            </w:r>
            <w:r>
              <w:rPr>
                <w:rFonts w:cs="Times New Roman"/>
                <w:bCs/>
                <w:i/>
                <w:sz w:val="20"/>
                <w:szCs w:val="20"/>
              </w:rPr>
              <w:t>’</w:t>
            </w:r>
            <w:r w:rsidR="001C6963">
              <w:rPr>
                <w:rFonts w:cs="Times New Roman"/>
                <w:bCs/>
                <w:i/>
                <w:sz w:val="20"/>
                <w:szCs w:val="20"/>
              </w:rPr>
              <w:t>.</w:t>
            </w:r>
          </w:p>
          <w:p w14:paraId="652D2F0D" w14:textId="77777777" w:rsidR="007135B4" w:rsidRPr="007135B4" w:rsidRDefault="007135B4" w:rsidP="007135B4">
            <w:pPr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5159" w:type="dxa"/>
          </w:tcPr>
          <w:p w14:paraId="652D2F0E" w14:textId="77777777" w:rsidR="00032519" w:rsidRDefault="00032519" w:rsidP="00032519">
            <w:pPr>
              <w:pStyle w:val="Header"/>
              <w:jc w:val="left"/>
            </w:pPr>
          </w:p>
          <w:p w14:paraId="652D2F0F" w14:textId="77777777" w:rsidR="00C23F8D" w:rsidRPr="00C23F8D" w:rsidRDefault="00C23F8D" w:rsidP="00C23F8D">
            <w:pPr>
              <w:numPr>
                <w:ilvl w:val="0"/>
                <w:numId w:val="7"/>
              </w:numPr>
              <w:tabs>
                <w:tab w:val="clear" w:pos="720"/>
                <w:tab w:val="num" w:pos="225"/>
                <w:tab w:val="center" w:pos="4153"/>
                <w:tab w:val="right" w:pos="8306"/>
              </w:tabs>
              <w:ind w:left="225" w:hanging="225"/>
              <w:jc w:val="left"/>
              <w:rPr>
                <w:sz w:val="20"/>
                <w:szCs w:val="20"/>
              </w:rPr>
            </w:pPr>
            <w:r w:rsidRPr="00C23F8D">
              <w:rPr>
                <w:sz w:val="20"/>
              </w:rPr>
              <w:t xml:space="preserve">Define and critique the distinctions between various methods of coaching or mentoring including (as a minimum) </w:t>
            </w:r>
            <w:r w:rsidRPr="00C23F8D">
              <w:rPr>
                <w:sz w:val="20"/>
                <w:szCs w:val="20"/>
              </w:rPr>
              <w:t>executive</w:t>
            </w:r>
            <w:r w:rsidRPr="00C23F8D">
              <w:rPr>
                <w:sz w:val="20"/>
              </w:rPr>
              <w:t>, leadership, professional and business coaching or mentoring</w:t>
            </w:r>
            <w:r w:rsidR="003D4334">
              <w:rPr>
                <w:sz w:val="20"/>
              </w:rPr>
              <w:t xml:space="preserve"> </w:t>
            </w:r>
            <w:r w:rsidR="003D4334" w:rsidRPr="003D4334">
              <w:rPr>
                <w:bCs/>
                <w:i/>
                <w:sz w:val="20"/>
              </w:rPr>
              <w:t>(</w:t>
            </w:r>
            <w:r w:rsidR="003D4334">
              <w:rPr>
                <w:bCs/>
                <w:i/>
                <w:sz w:val="20"/>
              </w:rPr>
              <w:t>16</w:t>
            </w:r>
            <w:r w:rsidR="003D4334" w:rsidRPr="003D4334">
              <w:rPr>
                <w:bCs/>
                <w:i/>
                <w:sz w:val="20"/>
              </w:rPr>
              <w:t xml:space="preserve"> marks)</w:t>
            </w:r>
          </w:p>
          <w:p w14:paraId="652D2F10" w14:textId="77777777" w:rsidR="00C06CA7" w:rsidRPr="00D92A40" w:rsidRDefault="00C06CA7" w:rsidP="00D92A40">
            <w:pPr>
              <w:pStyle w:val="Header"/>
              <w:tabs>
                <w:tab w:val="num" w:pos="347"/>
              </w:tabs>
              <w:ind w:left="347" w:hanging="240"/>
              <w:jc w:val="left"/>
            </w:pPr>
          </w:p>
        </w:tc>
      </w:tr>
      <w:tr w:rsidR="00C06CA7" w:rsidRPr="002F67C8" w14:paraId="652D2F19" w14:textId="77777777">
        <w:trPr>
          <w:trHeight w:val="397"/>
        </w:trPr>
        <w:tc>
          <w:tcPr>
            <w:tcW w:w="4453" w:type="dxa"/>
            <w:gridSpan w:val="2"/>
          </w:tcPr>
          <w:p w14:paraId="652D2F12" w14:textId="77777777" w:rsidR="0001185E" w:rsidRPr="0001185E" w:rsidRDefault="0001185E" w:rsidP="0001185E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01185E">
              <w:rPr>
                <w:rFonts w:cs="Times New Roman"/>
                <w:b/>
                <w:bCs/>
                <w:sz w:val="20"/>
                <w:szCs w:val="20"/>
              </w:rPr>
              <w:t>Reviewing the conditions, skills and practices for effective and ethical coaching and mentoring</w:t>
            </w:r>
          </w:p>
          <w:p w14:paraId="652D2F13" w14:textId="77777777" w:rsidR="00C06CA7" w:rsidRPr="00C23F8D" w:rsidRDefault="00C06CA7" w:rsidP="00BF59AE">
            <w:pPr>
              <w:jc w:val="left"/>
              <w:rPr>
                <w:sz w:val="20"/>
                <w:szCs w:val="20"/>
              </w:rPr>
            </w:pPr>
          </w:p>
          <w:p w14:paraId="652D2F14" w14:textId="77777777" w:rsidR="00C06CA7" w:rsidRPr="00C23F8D" w:rsidRDefault="00C06CA7" w:rsidP="00BF59AE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</w:tcPr>
          <w:p w14:paraId="652D2F15" w14:textId="77777777" w:rsidR="00C06CA7" w:rsidRPr="00C23F8D" w:rsidRDefault="00C06CA7" w:rsidP="00D92A40">
            <w:pPr>
              <w:pStyle w:val="Header"/>
              <w:ind w:left="107"/>
              <w:jc w:val="left"/>
            </w:pPr>
          </w:p>
          <w:p w14:paraId="652D2F16" w14:textId="77777777" w:rsidR="00C23F8D" w:rsidRPr="00C23F8D" w:rsidRDefault="00C23F8D" w:rsidP="00C23F8D">
            <w:pPr>
              <w:numPr>
                <w:ilvl w:val="0"/>
                <w:numId w:val="7"/>
              </w:numPr>
              <w:tabs>
                <w:tab w:val="clear" w:pos="720"/>
                <w:tab w:val="num" w:pos="225"/>
                <w:tab w:val="center" w:pos="4153"/>
                <w:tab w:val="right" w:pos="8306"/>
              </w:tabs>
              <w:ind w:left="225" w:hanging="225"/>
              <w:jc w:val="left"/>
              <w:rPr>
                <w:rFonts w:cs="Times New Roman"/>
                <w:sz w:val="20"/>
                <w:szCs w:val="20"/>
              </w:rPr>
            </w:pPr>
            <w:r w:rsidRPr="00C23F8D">
              <w:rPr>
                <w:rFonts w:cs="Times New Roman"/>
                <w:sz w:val="20"/>
                <w:szCs w:val="20"/>
              </w:rPr>
              <w:t xml:space="preserve">Critically review the skills and behaviours required for </w:t>
            </w:r>
            <w:r w:rsidRPr="00C23F8D">
              <w:rPr>
                <w:sz w:val="20"/>
              </w:rPr>
              <w:t>ethical</w:t>
            </w:r>
            <w:r w:rsidRPr="00C23F8D">
              <w:rPr>
                <w:rFonts w:cs="Times New Roman"/>
                <w:sz w:val="20"/>
                <w:szCs w:val="20"/>
              </w:rPr>
              <w:t xml:space="preserve"> practice in coaching or mentoring at a senior and strategic level</w:t>
            </w:r>
            <w:r w:rsidR="003D4334">
              <w:rPr>
                <w:rFonts w:cs="Times New Roman"/>
                <w:sz w:val="20"/>
                <w:szCs w:val="20"/>
              </w:rPr>
              <w:t xml:space="preserve"> </w:t>
            </w:r>
            <w:r w:rsidR="003D4334" w:rsidRPr="003D4334">
              <w:rPr>
                <w:bCs/>
                <w:i/>
                <w:sz w:val="20"/>
              </w:rPr>
              <w:t>(</w:t>
            </w:r>
            <w:r w:rsidR="003D4334">
              <w:rPr>
                <w:bCs/>
                <w:i/>
                <w:sz w:val="20"/>
              </w:rPr>
              <w:t>16</w:t>
            </w:r>
            <w:r w:rsidR="003D4334" w:rsidRPr="003D4334">
              <w:rPr>
                <w:bCs/>
                <w:i/>
                <w:sz w:val="20"/>
              </w:rPr>
              <w:t xml:space="preserve"> marks)</w:t>
            </w:r>
          </w:p>
          <w:p w14:paraId="652D2F17" w14:textId="77777777" w:rsidR="00C23F8D" w:rsidRPr="00C23F8D" w:rsidRDefault="00C23F8D" w:rsidP="00C23F8D">
            <w:pPr>
              <w:framePr w:hSpace="180" w:wrap="around" w:vAnchor="page" w:hAnchor="margin" w:y="1741"/>
              <w:numPr>
                <w:ilvl w:val="0"/>
                <w:numId w:val="7"/>
              </w:numPr>
              <w:tabs>
                <w:tab w:val="clear" w:pos="720"/>
                <w:tab w:val="num" w:pos="225"/>
                <w:tab w:val="center" w:pos="4153"/>
                <w:tab w:val="right" w:pos="8306"/>
              </w:tabs>
              <w:ind w:left="225" w:hanging="225"/>
              <w:jc w:val="left"/>
              <w:rPr>
                <w:sz w:val="20"/>
                <w:szCs w:val="20"/>
              </w:rPr>
            </w:pPr>
            <w:r w:rsidRPr="00C23F8D">
              <w:rPr>
                <w:rFonts w:cs="Times New Roman"/>
                <w:sz w:val="20"/>
                <w:szCs w:val="20"/>
              </w:rPr>
              <w:t xml:space="preserve">Justify the importance and role of codes of practice, </w:t>
            </w:r>
            <w:r w:rsidRPr="00C23F8D">
              <w:rPr>
                <w:sz w:val="20"/>
              </w:rPr>
              <w:t>contracting</w:t>
            </w:r>
            <w:r w:rsidRPr="00C23F8D">
              <w:rPr>
                <w:rFonts w:cs="Times New Roman"/>
                <w:sz w:val="20"/>
                <w:szCs w:val="20"/>
              </w:rPr>
              <w:t xml:space="preserve"> and supervision at this level of coaching or mentoring practice</w:t>
            </w:r>
            <w:r w:rsidR="003D4334">
              <w:rPr>
                <w:rFonts w:cs="Times New Roman"/>
                <w:sz w:val="20"/>
                <w:szCs w:val="20"/>
              </w:rPr>
              <w:t xml:space="preserve"> </w:t>
            </w:r>
            <w:r w:rsidR="003D4334" w:rsidRPr="003D4334">
              <w:rPr>
                <w:bCs/>
                <w:i/>
                <w:sz w:val="20"/>
              </w:rPr>
              <w:t>(</w:t>
            </w:r>
            <w:r w:rsidR="003D4334">
              <w:rPr>
                <w:bCs/>
                <w:i/>
                <w:sz w:val="20"/>
              </w:rPr>
              <w:t>16</w:t>
            </w:r>
            <w:r w:rsidR="003D4334" w:rsidRPr="003D4334">
              <w:rPr>
                <w:bCs/>
                <w:i/>
                <w:sz w:val="20"/>
              </w:rPr>
              <w:t xml:space="preserve"> marks)</w:t>
            </w:r>
          </w:p>
          <w:p w14:paraId="652D2F18" w14:textId="77777777" w:rsidR="00213E11" w:rsidRPr="00C23F8D" w:rsidRDefault="00213E11" w:rsidP="00D92A40">
            <w:pPr>
              <w:pStyle w:val="Header"/>
              <w:ind w:left="107"/>
              <w:jc w:val="left"/>
            </w:pPr>
          </w:p>
        </w:tc>
      </w:tr>
      <w:tr w:rsidR="00C06CA7" w:rsidRPr="002F67C8" w14:paraId="652D2F22" w14:textId="77777777">
        <w:trPr>
          <w:trHeight w:val="397"/>
        </w:trPr>
        <w:tc>
          <w:tcPr>
            <w:tcW w:w="4453" w:type="dxa"/>
            <w:gridSpan w:val="2"/>
          </w:tcPr>
          <w:p w14:paraId="652D2F1A" w14:textId="77777777" w:rsidR="0001185E" w:rsidRPr="0001185E" w:rsidRDefault="0001185E" w:rsidP="0001185E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01185E">
              <w:rPr>
                <w:rFonts w:cs="Times New Roman"/>
                <w:b/>
                <w:bCs/>
                <w:sz w:val="20"/>
                <w:szCs w:val="20"/>
              </w:rPr>
              <w:t>Evaluate the contribution of coaching and mentoring for individuals and organisations</w:t>
            </w:r>
          </w:p>
          <w:p w14:paraId="652D2F1B" w14:textId="77777777" w:rsidR="0001185E" w:rsidRPr="0001185E" w:rsidRDefault="0001185E" w:rsidP="0001185E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652D2F1C" w14:textId="77777777" w:rsidR="0001185E" w:rsidRPr="0001185E" w:rsidRDefault="0001185E" w:rsidP="0001185E">
            <w:pPr>
              <w:jc w:val="left"/>
              <w:rPr>
                <w:rFonts w:cs="Times New Roman"/>
                <w:sz w:val="20"/>
                <w:szCs w:val="20"/>
              </w:rPr>
            </w:pPr>
            <w:r w:rsidRPr="0001185E">
              <w:rPr>
                <w:rFonts w:cs="Times New Roman"/>
                <w:sz w:val="20"/>
                <w:szCs w:val="20"/>
              </w:rPr>
              <w:t>This section should summarise the previous sections to show your understanding and should also conclude how coaching or mentoring can be evaluated.</w:t>
            </w:r>
          </w:p>
          <w:p w14:paraId="652D2F1D" w14:textId="77777777" w:rsidR="00C06CA7" w:rsidRPr="00AE4A46" w:rsidRDefault="00C06CA7" w:rsidP="00BF59AE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</w:tcPr>
          <w:p w14:paraId="652D2F1E" w14:textId="77777777" w:rsidR="00C06CA7" w:rsidRPr="006E4BB7" w:rsidRDefault="00C06CA7" w:rsidP="00D92A40">
            <w:pPr>
              <w:pStyle w:val="Header"/>
              <w:ind w:left="107"/>
              <w:jc w:val="left"/>
            </w:pPr>
          </w:p>
          <w:p w14:paraId="652D2F1F" w14:textId="77777777" w:rsidR="00335F12" w:rsidRPr="00F34B43" w:rsidRDefault="00335F12" w:rsidP="00335F12">
            <w:pPr>
              <w:numPr>
                <w:ilvl w:val="0"/>
                <w:numId w:val="7"/>
              </w:numPr>
              <w:tabs>
                <w:tab w:val="clear" w:pos="720"/>
                <w:tab w:val="num" w:pos="225"/>
                <w:tab w:val="center" w:pos="4153"/>
                <w:tab w:val="right" w:pos="8306"/>
              </w:tabs>
              <w:ind w:left="225" w:hanging="225"/>
              <w:jc w:val="left"/>
              <w:rPr>
                <w:rFonts w:cs="Times New Roman"/>
                <w:sz w:val="20"/>
                <w:szCs w:val="20"/>
              </w:rPr>
            </w:pPr>
            <w:r w:rsidRPr="00F34B43">
              <w:rPr>
                <w:rFonts w:cs="Times New Roman"/>
                <w:sz w:val="20"/>
                <w:szCs w:val="20"/>
              </w:rPr>
              <w:t>Critically assess the contribution of coaching or mentoring to improve both individual and organisational strategic performance</w:t>
            </w:r>
            <w:r w:rsidR="003D4334">
              <w:rPr>
                <w:rFonts w:cs="Times New Roman"/>
                <w:sz w:val="20"/>
                <w:szCs w:val="20"/>
              </w:rPr>
              <w:t xml:space="preserve"> </w:t>
            </w:r>
            <w:r w:rsidR="003D4334" w:rsidRPr="003D4334">
              <w:rPr>
                <w:bCs/>
                <w:i/>
                <w:sz w:val="20"/>
              </w:rPr>
              <w:t>(</w:t>
            </w:r>
            <w:r w:rsidR="003D4334">
              <w:rPr>
                <w:bCs/>
                <w:i/>
                <w:sz w:val="20"/>
              </w:rPr>
              <w:t>8</w:t>
            </w:r>
            <w:r w:rsidR="003D4334" w:rsidRPr="003D4334">
              <w:rPr>
                <w:bCs/>
                <w:i/>
                <w:sz w:val="20"/>
              </w:rPr>
              <w:t xml:space="preserve"> marks)</w:t>
            </w:r>
          </w:p>
          <w:p w14:paraId="652D2F20" w14:textId="77777777" w:rsidR="00335F12" w:rsidRPr="00F34B43" w:rsidRDefault="00335F12" w:rsidP="00335F12">
            <w:pPr>
              <w:numPr>
                <w:ilvl w:val="0"/>
                <w:numId w:val="7"/>
              </w:numPr>
              <w:tabs>
                <w:tab w:val="clear" w:pos="720"/>
                <w:tab w:val="num" w:pos="225"/>
                <w:tab w:val="center" w:pos="4153"/>
                <w:tab w:val="right" w:pos="8306"/>
              </w:tabs>
              <w:ind w:left="225" w:hanging="225"/>
              <w:jc w:val="left"/>
              <w:rPr>
                <w:rFonts w:cs="Times New Roman"/>
                <w:sz w:val="20"/>
                <w:szCs w:val="20"/>
              </w:rPr>
            </w:pPr>
            <w:r w:rsidRPr="00F34B43">
              <w:rPr>
                <w:rFonts w:cs="Times New Roman"/>
                <w:sz w:val="20"/>
                <w:szCs w:val="20"/>
              </w:rPr>
              <w:t>Evaluate the application of coaching or mentoring within a specific organisation or business environment</w:t>
            </w:r>
            <w:r w:rsidR="003D4334">
              <w:rPr>
                <w:rFonts w:cs="Times New Roman"/>
                <w:sz w:val="20"/>
                <w:szCs w:val="20"/>
              </w:rPr>
              <w:t xml:space="preserve"> </w:t>
            </w:r>
            <w:r w:rsidR="003D4334" w:rsidRPr="003D4334">
              <w:rPr>
                <w:bCs/>
                <w:i/>
                <w:sz w:val="20"/>
              </w:rPr>
              <w:t>(</w:t>
            </w:r>
            <w:r w:rsidR="003D4334">
              <w:rPr>
                <w:bCs/>
                <w:i/>
                <w:sz w:val="20"/>
              </w:rPr>
              <w:t>8</w:t>
            </w:r>
            <w:r w:rsidR="003D4334" w:rsidRPr="003D4334">
              <w:rPr>
                <w:bCs/>
                <w:i/>
                <w:sz w:val="20"/>
              </w:rPr>
              <w:t xml:space="preserve"> marks)</w:t>
            </w:r>
          </w:p>
          <w:p w14:paraId="652D2F21" w14:textId="77777777" w:rsidR="00213E11" w:rsidRPr="006E4BB7" w:rsidRDefault="00213E11" w:rsidP="00704AB8">
            <w:pPr>
              <w:tabs>
                <w:tab w:val="center" w:pos="4153"/>
                <w:tab w:val="right" w:pos="8306"/>
              </w:tabs>
              <w:jc w:val="left"/>
            </w:pPr>
          </w:p>
        </w:tc>
      </w:tr>
      <w:tr w:rsidR="00DF7346" w:rsidRPr="002F67C8" w14:paraId="652D2F24" w14:textId="77777777">
        <w:tc>
          <w:tcPr>
            <w:tcW w:w="9612" w:type="dxa"/>
            <w:gridSpan w:val="3"/>
            <w:vAlign w:val="center"/>
          </w:tcPr>
          <w:p w14:paraId="652D2F23" w14:textId="77777777" w:rsidR="00DF7346" w:rsidRPr="00240185" w:rsidRDefault="00DF7346" w:rsidP="007D2CA9">
            <w:pPr>
              <w:jc w:val="center"/>
              <w:rPr>
                <w:b/>
                <w:bCs/>
                <w:sz w:val="20"/>
                <w:szCs w:val="20"/>
              </w:rPr>
            </w:pPr>
            <w:r w:rsidRPr="002A3FBE">
              <w:rPr>
                <w:b/>
                <w:bCs/>
                <w:sz w:val="20"/>
                <w:szCs w:val="20"/>
              </w:rPr>
              <w:t xml:space="preserve">By submitting I confirm that this </w:t>
            </w:r>
            <w:r>
              <w:rPr>
                <w:b/>
                <w:bCs/>
                <w:sz w:val="20"/>
                <w:szCs w:val="20"/>
              </w:rPr>
              <w:t xml:space="preserve">assignment </w:t>
            </w:r>
            <w:r w:rsidRPr="002A3FBE">
              <w:rPr>
                <w:b/>
                <w:bCs/>
                <w:sz w:val="20"/>
                <w:szCs w:val="20"/>
              </w:rPr>
              <w:t>is my own work</w:t>
            </w:r>
          </w:p>
        </w:tc>
      </w:tr>
    </w:tbl>
    <w:p w14:paraId="652D2F25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7984E" w14:textId="77777777" w:rsidR="00B278C6" w:rsidRDefault="00B278C6" w:rsidP="00B278C6">
      <w:r>
        <w:separator/>
      </w:r>
    </w:p>
  </w:endnote>
  <w:endnote w:type="continuationSeparator" w:id="0">
    <w:p w14:paraId="12BB3350" w14:textId="77777777" w:rsidR="00B278C6" w:rsidRDefault="00B278C6" w:rsidP="00B2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8105F" w14:textId="77777777" w:rsidR="00B278C6" w:rsidRPr="00F10361" w:rsidRDefault="00B278C6" w:rsidP="00B278C6">
    <w:pPr>
      <w:jc w:val="left"/>
      <w:rPr>
        <w:sz w:val="20"/>
      </w:rPr>
    </w:pPr>
    <w:r w:rsidRPr="00F10361">
      <w:rPr>
        <w:sz w:val="20"/>
      </w:rPr>
      <w:t xml:space="preserve">Awarded by City &amp; Guilds </w:t>
    </w:r>
  </w:p>
  <w:p w14:paraId="5D68F689" w14:textId="77777777" w:rsidR="00B278C6" w:rsidRPr="00F10361" w:rsidRDefault="00B278C6" w:rsidP="00B278C6">
    <w:pPr>
      <w:jc w:val="left"/>
      <w:rPr>
        <w:sz w:val="20"/>
      </w:rPr>
    </w:pPr>
    <w:r w:rsidRPr="00F10361">
      <w:rPr>
        <w:sz w:val="20"/>
      </w:rPr>
      <w:t>Assignment –</w:t>
    </w:r>
    <w:r>
      <w:rPr>
        <w:sz w:val="20"/>
      </w:rPr>
      <w:t xml:space="preserve"> </w:t>
    </w:r>
    <w:r w:rsidRPr="009F3D45">
      <w:rPr>
        <w:sz w:val="20"/>
      </w:rPr>
      <w:t>Understanding the context of coaching and mentoring in a strategic business environment</w:t>
    </w:r>
  </w:p>
  <w:p w14:paraId="1EC6C083" w14:textId="70E6B387" w:rsidR="00B278C6" w:rsidRDefault="00B278C6" w:rsidP="00B278C6">
    <w:r>
      <w:rPr>
        <w:sz w:val="20"/>
      </w:rPr>
      <w:t>Version 1.0 (March</w:t>
    </w:r>
    <w:r w:rsidRPr="00F10361">
      <w:rPr>
        <w:sz w:val="20"/>
      </w:rPr>
      <w:t xml:space="preserve"> 201</w:t>
    </w:r>
    <w:r>
      <w:rPr>
        <w:sz w:val="20"/>
      </w:rPr>
      <w:t>7</w:t>
    </w:r>
    <w:r w:rsidRPr="00F10361">
      <w:rPr>
        <w:sz w:val="20"/>
      </w:rPr>
      <w:t xml:space="preserve">)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10361">
      <w:tab/>
    </w:r>
    <w:r w:rsidRPr="00F10361">
      <w:tab/>
    </w:r>
    <w:r w:rsidRPr="00F10361">
      <w:tab/>
    </w:r>
    <w:r w:rsidRPr="00F10361">
      <w:tab/>
    </w:r>
    <w:r w:rsidRPr="00F10361">
      <w:tab/>
    </w:r>
    <w:sdt>
      <w:sdtPr>
        <w:rPr>
          <w:sz w:val="20"/>
        </w:rPr>
        <w:id w:val="14413419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828E1">
          <w:rPr>
            <w:sz w:val="20"/>
          </w:rPr>
          <w:fldChar w:fldCharType="begin"/>
        </w:r>
        <w:r w:rsidRPr="00A828E1">
          <w:rPr>
            <w:sz w:val="20"/>
          </w:rPr>
          <w:instrText xml:space="preserve"> PAGE   \* MERGEFORMAT </w:instrText>
        </w:r>
        <w:r w:rsidRPr="00A828E1">
          <w:rPr>
            <w:sz w:val="20"/>
          </w:rPr>
          <w:fldChar w:fldCharType="separate"/>
        </w:r>
        <w:r w:rsidR="00462C21">
          <w:rPr>
            <w:noProof/>
            <w:sz w:val="20"/>
          </w:rPr>
          <w:t>1</w:t>
        </w:r>
        <w:r w:rsidRPr="00A828E1">
          <w:rPr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126BB" w14:textId="77777777" w:rsidR="00B278C6" w:rsidRDefault="00B278C6" w:rsidP="00B278C6">
      <w:r>
        <w:separator/>
      </w:r>
    </w:p>
  </w:footnote>
  <w:footnote w:type="continuationSeparator" w:id="0">
    <w:p w14:paraId="0CA5F642" w14:textId="77777777" w:rsidR="00B278C6" w:rsidRDefault="00B278C6" w:rsidP="00B2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97A67" w14:textId="070D7D0F" w:rsidR="00B278C6" w:rsidRDefault="00B278C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B8369B7" wp14:editId="3B149B6A">
          <wp:simplePos x="0" y="0"/>
          <wp:positionH relativeFrom="column">
            <wp:posOffset>5040086</wp:posOffset>
          </wp:positionH>
          <wp:positionV relativeFrom="paragraph">
            <wp:posOffset>-272777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" w15:restartNumberingAfterBreak="0">
    <w:nsid w:val="0FBD05B7"/>
    <w:multiLevelType w:val="hybridMultilevel"/>
    <w:tmpl w:val="E4FC3E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349C"/>
    <w:multiLevelType w:val="hybridMultilevel"/>
    <w:tmpl w:val="23D63D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11B8E"/>
    <w:multiLevelType w:val="hybridMultilevel"/>
    <w:tmpl w:val="CC741DBA"/>
    <w:lvl w:ilvl="0" w:tplc="04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DD172F"/>
    <w:multiLevelType w:val="multilevel"/>
    <w:tmpl w:val="393E7D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78663D"/>
    <w:multiLevelType w:val="hybridMultilevel"/>
    <w:tmpl w:val="E7228B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01A37"/>
    <w:multiLevelType w:val="hybridMultilevel"/>
    <w:tmpl w:val="ADDAF06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132F4"/>
    <w:multiLevelType w:val="hybridMultilevel"/>
    <w:tmpl w:val="D408C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72D82"/>
    <w:multiLevelType w:val="multilevel"/>
    <w:tmpl w:val="ADDAF0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5035A"/>
    <w:multiLevelType w:val="hybridMultilevel"/>
    <w:tmpl w:val="AA5C15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46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185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519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201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2EE6"/>
    <w:rsid w:val="00094ABB"/>
    <w:rsid w:val="00094ADE"/>
    <w:rsid w:val="00094FF6"/>
    <w:rsid w:val="00096113"/>
    <w:rsid w:val="000962C1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A6F7E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C7CC4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1D07"/>
    <w:rsid w:val="001125BA"/>
    <w:rsid w:val="00112B20"/>
    <w:rsid w:val="00114ECB"/>
    <w:rsid w:val="0011515D"/>
    <w:rsid w:val="00117C76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1F91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6E02"/>
    <w:rsid w:val="001673B9"/>
    <w:rsid w:val="0016743E"/>
    <w:rsid w:val="00167844"/>
    <w:rsid w:val="00170AE3"/>
    <w:rsid w:val="00171159"/>
    <w:rsid w:val="001723E3"/>
    <w:rsid w:val="001727B6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6963"/>
    <w:rsid w:val="001C7E8E"/>
    <w:rsid w:val="001C7FFA"/>
    <w:rsid w:val="001D01FF"/>
    <w:rsid w:val="001D0B5F"/>
    <w:rsid w:val="001D1A68"/>
    <w:rsid w:val="001D1C4C"/>
    <w:rsid w:val="001D2876"/>
    <w:rsid w:val="001D53E1"/>
    <w:rsid w:val="001D5EA4"/>
    <w:rsid w:val="001D6C78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20C"/>
    <w:rsid w:val="00201729"/>
    <w:rsid w:val="002021EC"/>
    <w:rsid w:val="00202323"/>
    <w:rsid w:val="002023FF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3E11"/>
    <w:rsid w:val="0021466D"/>
    <w:rsid w:val="002158B7"/>
    <w:rsid w:val="0021609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2FD9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FBE"/>
    <w:rsid w:val="002A4189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397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34A3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E6521"/>
    <w:rsid w:val="002E685C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495C"/>
    <w:rsid w:val="00305136"/>
    <w:rsid w:val="0030525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70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5F12"/>
    <w:rsid w:val="003362D8"/>
    <w:rsid w:val="00337A2D"/>
    <w:rsid w:val="003407B8"/>
    <w:rsid w:val="00340F1E"/>
    <w:rsid w:val="0034239B"/>
    <w:rsid w:val="00343398"/>
    <w:rsid w:val="003440CA"/>
    <w:rsid w:val="00344A6E"/>
    <w:rsid w:val="00344C13"/>
    <w:rsid w:val="00345C37"/>
    <w:rsid w:val="00346428"/>
    <w:rsid w:val="003467BE"/>
    <w:rsid w:val="00347F12"/>
    <w:rsid w:val="003504F1"/>
    <w:rsid w:val="00350686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293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334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1E3"/>
    <w:rsid w:val="00403D03"/>
    <w:rsid w:val="0040470B"/>
    <w:rsid w:val="004055DC"/>
    <w:rsid w:val="00407166"/>
    <w:rsid w:val="00407703"/>
    <w:rsid w:val="00410001"/>
    <w:rsid w:val="00410ABC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2A3A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201"/>
    <w:rsid w:val="00446410"/>
    <w:rsid w:val="00446893"/>
    <w:rsid w:val="00447A1D"/>
    <w:rsid w:val="004511C1"/>
    <w:rsid w:val="00452091"/>
    <w:rsid w:val="00452313"/>
    <w:rsid w:val="00452B1D"/>
    <w:rsid w:val="0045300A"/>
    <w:rsid w:val="00454362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2C21"/>
    <w:rsid w:val="00463F98"/>
    <w:rsid w:val="0046476E"/>
    <w:rsid w:val="00466082"/>
    <w:rsid w:val="00466F23"/>
    <w:rsid w:val="0046739E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12AC"/>
    <w:rsid w:val="00492314"/>
    <w:rsid w:val="00492943"/>
    <w:rsid w:val="0049340D"/>
    <w:rsid w:val="00493609"/>
    <w:rsid w:val="004938E5"/>
    <w:rsid w:val="00493E20"/>
    <w:rsid w:val="004941E5"/>
    <w:rsid w:val="00494772"/>
    <w:rsid w:val="00495064"/>
    <w:rsid w:val="0049757D"/>
    <w:rsid w:val="004A0260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21AD"/>
    <w:rsid w:val="004B441B"/>
    <w:rsid w:val="004B5025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E76C0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47D"/>
    <w:rsid w:val="00523B8A"/>
    <w:rsid w:val="00523DF6"/>
    <w:rsid w:val="00524249"/>
    <w:rsid w:val="005244E2"/>
    <w:rsid w:val="005246F4"/>
    <w:rsid w:val="00524F7B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5727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506"/>
    <w:rsid w:val="005B18CF"/>
    <w:rsid w:val="005B1BF2"/>
    <w:rsid w:val="005B2AB1"/>
    <w:rsid w:val="005B4223"/>
    <w:rsid w:val="005B55F5"/>
    <w:rsid w:val="005B629A"/>
    <w:rsid w:val="005B668F"/>
    <w:rsid w:val="005B7A2F"/>
    <w:rsid w:val="005B7F2E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0E8F"/>
    <w:rsid w:val="005E1016"/>
    <w:rsid w:val="005E15AB"/>
    <w:rsid w:val="005E221F"/>
    <w:rsid w:val="005E28E4"/>
    <w:rsid w:val="005E3A1B"/>
    <w:rsid w:val="005E3F36"/>
    <w:rsid w:val="005E4C72"/>
    <w:rsid w:val="005E5240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5D75"/>
    <w:rsid w:val="00606077"/>
    <w:rsid w:val="00606B3E"/>
    <w:rsid w:val="00607632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4B4C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6ADE"/>
    <w:rsid w:val="006475FF"/>
    <w:rsid w:val="00650D95"/>
    <w:rsid w:val="0065188C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2F8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BB7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3777"/>
    <w:rsid w:val="006F548B"/>
    <w:rsid w:val="006F6491"/>
    <w:rsid w:val="006F7747"/>
    <w:rsid w:val="006F7FCF"/>
    <w:rsid w:val="006F7FEB"/>
    <w:rsid w:val="0070051F"/>
    <w:rsid w:val="00702C37"/>
    <w:rsid w:val="00703C43"/>
    <w:rsid w:val="00704AB8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5B4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90E"/>
    <w:rsid w:val="00755B1B"/>
    <w:rsid w:val="00756174"/>
    <w:rsid w:val="00756C05"/>
    <w:rsid w:val="00756D4E"/>
    <w:rsid w:val="00757E67"/>
    <w:rsid w:val="00760845"/>
    <w:rsid w:val="007613AF"/>
    <w:rsid w:val="0076145D"/>
    <w:rsid w:val="00763193"/>
    <w:rsid w:val="0076439C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545F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38DC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776"/>
    <w:rsid w:val="007D0EDC"/>
    <w:rsid w:val="007D14DD"/>
    <w:rsid w:val="007D2CA9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3B48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61C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D45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5288"/>
    <w:rsid w:val="00895808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A7FDD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8F1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612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6268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1981"/>
    <w:rsid w:val="00912DD4"/>
    <w:rsid w:val="0091310F"/>
    <w:rsid w:val="0091696F"/>
    <w:rsid w:val="00916BBD"/>
    <w:rsid w:val="00920015"/>
    <w:rsid w:val="009203C5"/>
    <w:rsid w:val="0092074D"/>
    <w:rsid w:val="00922237"/>
    <w:rsid w:val="009227D6"/>
    <w:rsid w:val="009239B9"/>
    <w:rsid w:val="009245CD"/>
    <w:rsid w:val="00924D98"/>
    <w:rsid w:val="009262CB"/>
    <w:rsid w:val="00927D0D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60A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5C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97F48"/>
    <w:rsid w:val="009A0834"/>
    <w:rsid w:val="009A0AA4"/>
    <w:rsid w:val="009A1520"/>
    <w:rsid w:val="009A21E5"/>
    <w:rsid w:val="009A2336"/>
    <w:rsid w:val="009A299D"/>
    <w:rsid w:val="009A2DB3"/>
    <w:rsid w:val="009A30B1"/>
    <w:rsid w:val="009A3804"/>
    <w:rsid w:val="009A5331"/>
    <w:rsid w:val="009A555B"/>
    <w:rsid w:val="009A6598"/>
    <w:rsid w:val="009A7972"/>
    <w:rsid w:val="009A7AE9"/>
    <w:rsid w:val="009A7BA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4EC9"/>
    <w:rsid w:val="009C5C2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7734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E761E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55F"/>
    <w:rsid w:val="00A12BBD"/>
    <w:rsid w:val="00A14719"/>
    <w:rsid w:val="00A148FA"/>
    <w:rsid w:val="00A149E6"/>
    <w:rsid w:val="00A14FE0"/>
    <w:rsid w:val="00A157B1"/>
    <w:rsid w:val="00A16249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5F98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28A1"/>
    <w:rsid w:val="00A62B15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08E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64EF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A46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AF71D5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8C6"/>
    <w:rsid w:val="00B27B91"/>
    <w:rsid w:val="00B30288"/>
    <w:rsid w:val="00B30709"/>
    <w:rsid w:val="00B3155A"/>
    <w:rsid w:val="00B31846"/>
    <w:rsid w:val="00B32D8B"/>
    <w:rsid w:val="00B33289"/>
    <w:rsid w:val="00B333D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42DC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86FB3"/>
    <w:rsid w:val="00B9084B"/>
    <w:rsid w:val="00B90FB7"/>
    <w:rsid w:val="00B913C5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5"/>
    <w:rsid w:val="00BC1CDF"/>
    <w:rsid w:val="00BC221B"/>
    <w:rsid w:val="00BC241A"/>
    <w:rsid w:val="00BC3BA7"/>
    <w:rsid w:val="00BC3BDB"/>
    <w:rsid w:val="00BC4068"/>
    <w:rsid w:val="00BC42DD"/>
    <w:rsid w:val="00BC4762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5FE4"/>
    <w:rsid w:val="00BD6292"/>
    <w:rsid w:val="00BD71C1"/>
    <w:rsid w:val="00BD787B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0486"/>
    <w:rsid w:val="00BF07E4"/>
    <w:rsid w:val="00BF1002"/>
    <w:rsid w:val="00BF2227"/>
    <w:rsid w:val="00BF4975"/>
    <w:rsid w:val="00BF59AE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5B75"/>
    <w:rsid w:val="00C06CA7"/>
    <w:rsid w:val="00C0722B"/>
    <w:rsid w:val="00C07238"/>
    <w:rsid w:val="00C0779C"/>
    <w:rsid w:val="00C07AE4"/>
    <w:rsid w:val="00C07F93"/>
    <w:rsid w:val="00C10800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3F8D"/>
    <w:rsid w:val="00C240C0"/>
    <w:rsid w:val="00C24369"/>
    <w:rsid w:val="00C2501E"/>
    <w:rsid w:val="00C25C68"/>
    <w:rsid w:val="00C2604A"/>
    <w:rsid w:val="00C27C26"/>
    <w:rsid w:val="00C27E7F"/>
    <w:rsid w:val="00C30199"/>
    <w:rsid w:val="00C310C5"/>
    <w:rsid w:val="00C31AF3"/>
    <w:rsid w:val="00C31D24"/>
    <w:rsid w:val="00C31F65"/>
    <w:rsid w:val="00C31F77"/>
    <w:rsid w:val="00C32488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4FFB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323A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6"/>
    <w:rsid w:val="00CC4A8A"/>
    <w:rsid w:val="00CC5632"/>
    <w:rsid w:val="00CC5C30"/>
    <w:rsid w:val="00CC7464"/>
    <w:rsid w:val="00CD03E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DF4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515"/>
    <w:rsid w:val="00D14751"/>
    <w:rsid w:val="00D149C1"/>
    <w:rsid w:val="00D159A0"/>
    <w:rsid w:val="00D15A34"/>
    <w:rsid w:val="00D16084"/>
    <w:rsid w:val="00D17065"/>
    <w:rsid w:val="00D202D7"/>
    <w:rsid w:val="00D210EC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0AB8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40"/>
    <w:rsid w:val="00D92A86"/>
    <w:rsid w:val="00D92EBE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1CB"/>
    <w:rsid w:val="00DD18CB"/>
    <w:rsid w:val="00DD19EF"/>
    <w:rsid w:val="00DD2934"/>
    <w:rsid w:val="00DD2987"/>
    <w:rsid w:val="00DD2A92"/>
    <w:rsid w:val="00DD3351"/>
    <w:rsid w:val="00DD3779"/>
    <w:rsid w:val="00DD3D15"/>
    <w:rsid w:val="00DD480A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417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DF7346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D3A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6B7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3B68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0A00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576"/>
    <w:rsid w:val="00F3071E"/>
    <w:rsid w:val="00F30797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4B43"/>
    <w:rsid w:val="00F351B2"/>
    <w:rsid w:val="00F367C0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28E3"/>
    <w:rsid w:val="00F82C7B"/>
    <w:rsid w:val="00F832DB"/>
    <w:rsid w:val="00F85031"/>
    <w:rsid w:val="00F8570E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2B50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0CA8"/>
    <w:rsid w:val="00FB1BCA"/>
    <w:rsid w:val="00FB1F92"/>
    <w:rsid w:val="00FB20D8"/>
    <w:rsid w:val="00FB2715"/>
    <w:rsid w:val="00FB2B9A"/>
    <w:rsid w:val="00FB39E8"/>
    <w:rsid w:val="00FB3E23"/>
    <w:rsid w:val="00FB4E5A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114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6B85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D2EDD"/>
  <w14:defaultImageDpi w14:val="0"/>
  <w15:docId w15:val="{3FAE3579-6D69-4F8F-95B2-248D9888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346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Heading 1 Char1,Heading 1 Char Char,Char Char Char,Heading 1 Char,Char,HEADING 1 + CENTRED"/>
    <w:basedOn w:val="Normal"/>
    <w:next w:val="Normal"/>
    <w:link w:val="Heading1Char2"/>
    <w:autoRedefine/>
    <w:uiPriority w:val="99"/>
    <w:qFormat/>
    <w:rsid w:val="00D92A40"/>
    <w:pPr>
      <w:widowControl w:val="0"/>
      <w:tabs>
        <w:tab w:val="left" w:pos="5535"/>
      </w:tabs>
      <w:ind w:left="-284" w:firstLine="142"/>
      <w:jc w:val="left"/>
      <w:outlineLvl w:val="0"/>
    </w:pPr>
    <w:rPr>
      <w:b/>
      <w:bCs/>
      <w:caps/>
      <w:kern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92A40"/>
    <w:pPr>
      <w:keepNext/>
      <w:tabs>
        <w:tab w:val="left" w:pos="317"/>
        <w:tab w:val="left" w:pos="426"/>
      </w:tabs>
      <w:jc w:val="left"/>
      <w:outlineLvl w:val="1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Heading 1 Char1 Char,Heading 1 Char Char Char,Char Char Char Char,Heading 1 Char Char1,Char Char,HEADING 1 + CENTRED Char"/>
    <w:basedOn w:val="DefaultParagraphFont"/>
    <w:link w:val="Heading1"/>
    <w:uiPriority w:val="99"/>
    <w:locked/>
    <w:rsid w:val="00D92A40"/>
    <w:rPr>
      <w:rFonts w:ascii="Arial" w:hAnsi="Arial" w:cs="Times New Roman"/>
      <w:b/>
      <w:caps/>
      <w:kern w:val="28"/>
      <w:sz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2A40"/>
    <w:rPr>
      <w:rFonts w:ascii="Arial" w:hAnsi="Arial" w:cs="Times New Roman"/>
      <w:b/>
      <w:lang w:val="en-US" w:eastAsia="en-US"/>
    </w:rPr>
  </w:style>
  <w:style w:type="paragraph" w:customStyle="1" w:styleId="Insetlistbullet">
    <w:name w:val="Inset list bullet"/>
    <w:basedOn w:val="Normal"/>
    <w:uiPriority w:val="99"/>
    <w:rsid w:val="00D92A40"/>
    <w:pPr>
      <w:numPr>
        <w:numId w:val="2"/>
      </w:numPr>
      <w:jc w:val="left"/>
    </w:pPr>
  </w:style>
  <w:style w:type="paragraph" w:styleId="ListParagraph">
    <w:name w:val="List Paragraph"/>
    <w:basedOn w:val="Normal"/>
    <w:uiPriority w:val="99"/>
    <w:qFormat/>
    <w:rsid w:val="00DF7346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DF734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7346"/>
    <w:rPr>
      <w:rFonts w:ascii="Arial" w:hAnsi="Arial" w:cs="Times New Roman"/>
      <w:lang w:val="en-GB" w:eastAsia="en-US"/>
    </w:rPr>
  </w:style>
  <w:style w:type="character" w:customStyle="1" w:styleId="CharChar1">
    <w:name w:val="Char Char1"/>
    <w:uiPriority w:val="99"/>
    <w:locked/>
    <w:rsid w:val="00D92A40"/>
    <w:rPr>
      <w:rFonts w:ascii="Arial" w:hAnsi="Arial"/>
      <w:sz w:val="22"/>
      <w:lang w:val="en-GB" w:eastAsia="en-US"/>
    </w:rPr>
  </w:style>
  <w:style w:type="character" w:customStyle="1" w:styleId="CharChar2">
    <w:name w:val="Char Char2"/>
    <w:uiPriority w:val="99"/>
    <w:rsid w:val="00C06CA7"/>
    <w:rPr>
      <w:rFonts w:ascii="Arial" w:hAnsi="Arial"/>
      <w:sz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8C08F1"/>
    <w:pPr>
      <w:spacing w:before="120" w:after="170" w:line="240" w:lineRule="atLeast"/>
      <w:jc w:val="left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5E524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E52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E5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E5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B278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8C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8581-21</TermName>
          <TermId xmlns="http://schemas.microsoft.com/office/infopath/2007/PartnerControls">1d3c4bdc-de15-4adc-bace-6e0b33ed944d</TermId>
        </TermInfo>
        <TermInfo xmlns="http://schemas.microsoft.com/office/infopath/2007/PartnerControls">
          <TermName xmlns="http://schemas.microsoft.com/office/infopath/2007/PartnerControls">8581-31</TermName>
          <TermId xmlns="http://schemas.microsoft.com/office/infopath/2007/PartnerControls">e3c7c2e3-7d3f-467a-aca9-c1e918a90a3a</TermId>
        </TermInfo>
        <TermInfo xmlns="http://schemas.microsoft.com/office/infopath/2007/PartnerControls">
          <TermName xmlns="http://schemas.microsoft.com/office/infopath/2007/PartnerControls">8581-32</TermName>
          <TermId xmlns="http://schemas.microsoft.com/office/infopath/2007/PartnerControls">b39d7387-a144-4051-b14c-afa4aadc584a</TermId>
        </TermInfo>
      </Terms>
    </j5a7449248d447e983365f9ccc7bf26f>
    <KpiDescription xmlns="http://schemas.microsoft.com/sharepoint/v3" xsi:nil="true"/>
    <TaxCatchAll xmlns="5f8ea682-3a42-454b-8035-422047e146b2">
      <Value>483</Value>
      <Value>482</Value>
      <Value>487</Value>
      <Value>485</Value>
      <Value>484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8581-700</TermName>
          <TermId xmlns="http://schemas.microsoft.com/office/infopath/2007/PartnerControls">c1dc6c93-f069-4a6f-a4ae-3030446e579a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8581</TermName>
          <TermId xmlns="http://schemas.microsoft.com/office/infopath/2007/PartnerControls">5279185a-f225-45b3-add8-46ececd2d0f5</TermId>
        </TermInfo>
      </Terms>
    </kb5530885391492bb408a8b4151064ea>
    <Qualification xmlns="5f8ea682-3a42-454b-8035-422047e146b2">
      <Value>VRQ</Value>
    </Qualification>
    <Level xmlns="5f8ea682-3a42-454b-8035-422047e146b2">1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2B423-9740-445C-B237-33FE80CA6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2AA42-7101-4A8D-A90D-B1CACAD49FA9}">
  <ds:schemaRefs>
    <ds:schemaRef ds:uri="5f8ea682-3a42-454b-8035-422047e146b2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8AC08D-FF84-46C1-A904-9D95F6197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context of coaching and mentoring in a strategic business environment</vt:lpstr>
    </vt:vector>
  </TitlesOfParts>
  <Company>City &amp; Guilds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context of coaching and mentoring in a strategic business environment</dc:title>
  <dc:creator>shalinis</dc:creator>
  <cp:lastModifiedBy>Ravinder Sundal</cp:lastModifiedBy>
  <cp:revision>2</cp:revision>
  <dcterms:created xsi:type="dcterms:W3CDTF">2019-05-08T11:22:00Z</dcterms:created>
  <dcterms:modified xsi:type="dcterms:W3CDTF">2019-05-08T11:22:00Z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487;#8581-700|c1dc6c93-f069-4a6f-a4ae-3030446e579a</vt:lpwstr>
  </property>
  <property fmtid="{D5CDD505-2E9C-101B-9397-08002B2CF9AE}" pid="4" name="Family Code">
    <vt:lpwstr>482;#8581|5279185a-f225-45b3-add8-46ececd2d0f5</vt:lpwstr>
  </property>
  <property fmtid="{D5CDD505-2E9C-101B-9397-08002B2CF9AE}" pid="5" name="PoS">
    <vt:lpwstr>483;#8581-21|1d3c4bdc-de15-4adc-bace-6e0b33ed944d;#484;#8581-31|e3c7c2e3-7d3f-467a-aca9-c1e918a90a3a;#485;#8581-32|b39d7387-a144-4051-b14c-afa4aadc584a</vt:lpwstr>
  </property>
</Properties>
</file>