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C86307" w:rsidRPr="004B5359" w14:paraId="1F813396" w14:textId="77777777" w:rsidTr="009E0900">
        <w:tc>
          <w:tcPr>
            <w:tcW w:w="2808" w:type="dxa"/>
            <w:gridSpan w:val="2"/>
            <w:shd w:val="clear" w:color="auto" w:fill="99CCFF"/>
          </w:tcPr>
          <w:p w14:paraId="1F813394" w14:textId="77777777" w:rsidR="00C86307" w:rsidRDefault="00C86307" w:rsidP="008512D0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6831" w:type="dxa"/>
            <w:gridSpan w:val="3"/>
          </w:tcPr>
          <w:p w14:paraId="1F813395" w14:textId="77777777" w:rsidR="00C86307" w:rsidRPr="00F125A6" w:rsidRDefault="00C86307" w:rsidP="008512D0">
            <w:pPr>
              <w:spacing w:beforeLines="80" w:before="192" w:afterLines="80" w:after="192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Understanding support services operations in an organisation</w:t>
            </w:r>
          </w:p>
        </w:tc>
      </w:tr>
      <w:tr w:rsidR="00C86307" w14:paraId="1F813399" w14:textId="77777777" w:rsidTr="009E0900">
        <w:tc>
          <w:tcPr>
            <w:tcW w:w="2808" w:type="dxa"/>
            <w:gridSpan w:val="2"/>
            <w:shd w:val="clear" w:color="auto" w:fill="99CCFF"/>
          </w:tcPr>
          <w:p w14:paraId="1F813397" w14:textId="77777777" w:rsidR="00C86307" w:rsidRDefault="00C86307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1F813398" w14:textId="77777777" w:rsidR="00C86307" w:rsidRPr="00C1156C" w:rsidRDefault="00C86307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C86307" w14:paraId="1F81339C" w14:textId="77777777" w:rsidTr="009E0900">
        <w:tc>
          <w:tcPr>
            <w:tcW w:w="2808" w:type="dxa"/>
            <w:gridSpan w:val="2"/>
            <w:shd w:val="clear" w:color="auto" w:fill="99CCFF"/>
          </w:tcPr>
          <w:p w14:paraId="1F81339A" w14:textId="77777777" w:rsidR="00C86307" w:rsidRDefault="00C86307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1F81339B" w14:textId="77777777" w:rsidR="00C86307" w:rsidRPr="008A06A9" w:rsidRDefault="008A06A9" w:rsidP="008512D0">
            <w:pPr>
              <w:pStyle w:val="TableText"/>
              <w:jc w:val="both"/>
              <w:rPr>
                <w:b/>
                <w:bCs/>
              </w:rPr>
            </w:pPr>
            <w:r w:rsidRPr="008A06A9">
              <w:rPr>
                <w:b/>
                <w:bCs/>
              </w:rPr>
              <w:t>3</w:t>
            </w:r>
          </w:p>
        </w:tc>
      </w:tr>
      <w:tr w:rsidR="00C86307" w14:paraId="1F81339F" w14:textId="77777777" w:rsidTr="009E0900">
        <w:tc>
          <w:tcPr>
            <w:tcW w:w="2808" w:type="dxa"/>
            <w:gridSpan w:val="2"/>
            <w:shd w:val="clear" w:color="auto" w:fill="99CCFF"/>
          </w:tcPr>
          <w:p w14:paraId="1F81339D" w14:textId="77777777" w:rsidR="00C86307" w:rsidRDefault="00C86307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1F81339E" w14:textId="77777777" w:rsidR="00C86307" w:rsidRPr="008A06A9" w:rsidRDefault="008A06A9" w:rsidP="008512D0">
            <w:pPr>
              <w:pStyle w:val="TableText"/>
              <w:jc w:val="both"/>
              <w:rPr>
                <w:b/>
                <w:bCs/>
              </w:rPr>
            </w:pPr>
            <w:r w:rsidRPr="008A06A9">
              <w:rPr>
                <w:b/>
                <w:bCs/>
              </w:rPr>
              <w:t>7</w:t>
            </w:r>
          </w:p>
        </w:tc>
      </w:tr>
      <w:tr w:rsidR="00C86307" w14:paraId="1F8133A2" w14:textId="77777777" w:rsidTr="009E0900">
        <w:tc>
          <w:tcPr>
            <w:tcW w:w="4068" w:type="dxa"/>
            <w:gridSpan w:val="3"/>
            <w:shd w:val="clear" w:color="auto" w:fill="99CCFF"/>
          </w:tcPr>
          <w:p w14:paraId="1F8133A0" w14:textId="77777777" w:rsidR="00C86307" w:rsidRDefault="00C86307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1F8133A1" w14:textId="77777777" w:rsidR="00C86307" w:rsidRDefault="00C86307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C86307" w:rsidRPr="00C866A4" w14:paraId="1F8133B0" w14:textId="77777777" w:rsidTr="009E0900">
        <w:tc>
          <w:tcPr>
            <w:tcW w:w="4068" w:type="dxa"/>
            <w:gridSpan w:val="3"/>
          </w:tcPr>
          <w:p w14:paraId="1F8133A3" w14:textId="77777777" w:rsidR="00C86307" w:rsidRPr="00E3763B" w:rsidRDefault="00C86307" w:rsidP="008512D0">
            <w:pPr>
              <w:jc w:val="left"/>
              <w:rPr>
                <w:sz w:val="20"/>
                <w:szCs w:val="20"/>
              </w:rPr>
            </w:pPr>
          </w:p>
          <w:p w14:paraId="1F8133A4" w14:textId="77777777" w:rsidR="00C86307" w:rsidRDefault="00C86307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range of support services required by the organisation and the legislation that impacts on these services</w:t>
            </w:r>
          </w:p>
          <w:p w14:paraId="1F8133A5" w14:textId="77777777" w:rsidR="00C86307" w:rsidRPr="00E3763B" w:rsidRDefault="00C86307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F8133A6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</w:p>
          <w:p w14:paraId="1F8133A7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1F8133A8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</w:p>
          <w:p w14:paraId="1F8133A9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</w:p>
          <w:p w14:paraId="1F8133AA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</w:p>
          <w:p w14:paraId="1F8133AB" w14:textId="77777777" w:rsidR="00C86307" w:rsidRPr="00E3763B" w:rsidRDefault="00C8630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995" w:type="dxa"/>
            <w:tcBorders>
              <w:left w:val="nil"/>
            </w:tcBorders>
          </w:tcPr>
          <w:p w14:paraId="1F8133AC" w14:textId="77777777" w:rsidR="00C86307" w:rsidRDefault="00C86307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F8133AD" w14:textId="77777777" w:rsidR="003A5884" w:rsidRPr="009A3D4C" w:rsidRDefault="003A5884" w:rsidP="003A5884">
            <w:pPr>
              <w:pStyle w:val="Header"/>
              <w:jc w:val="left"/>
              <w:rPr>
                <w:sz w:val="20"/>
                <w:szCs w:val="20"/>
              </w:rPr>
            </w:pPr>
            <w:r w:rsidRPr="009A3D4C">
              <w:rPr>
                <w:sz w:val="20"/>
                <w:szCs w:val="20"/>
              </w:rPr>
              <w:t>Describe the range of support services that is required by own organisation</w:t>
            </w:r>
            <w:r>
              <w:rPr>
                <w:sz w:val="20"/>
                <w:szCs w:val="20"/>
              </w:rPr>
              <w:t xml:space="preserve">, distinguishing </w:t>
            </w:r>
            <w:r w:rsidRPr="009A3D4C">
              <w:rPr>
                <w:sz w:val="20"/>
                <w:szCs w:val="20"/>
              </w:rPr>
              <w:t>between ‘hard’ and soft’ services</w:t>
            </w:r>
          </w:p>
          <w:p w14:paraId="7651A22A" w14:textId="77777777" w:rsidR="009E0900" w:rsidRDefault="009E0900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F8133AE" w14:textId="77777777" w:rsidR="00C86307" w:rsidRDefault="00C86307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legislation that impacts on these services</w:t>
            </w:r>
          </w:p>
          <w:p w14:paraId="1F8133AF" w14:textId="77777777" w:rsidR="00C86307" w:rsidRPr="00E3763B" w:rsidRDefault="00C86307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C86307" w:rsidRPr="00C866A4" w14:paraId="1F8133C3" w14:textId="77777777" w:rsidTr="009E0900">
        <w:tc>
          <w:tcPr>
            <w:tcW w:w="4068" w:type="dxa"/>
            <w:gridSpan w:val="3"/>
          </w:tcPr>
          <w:p w14:paraId="1F8133B1" w14:textId="77777777" w:rsidR="00C86307" w:rsidRDefault="00C86307" w:rsidP="008512D0">
            <w:pPr>
              <w:tabs>
                <w:tab w:val="left" w:pos="317"/>
              </w:tabs>
              <w:jc w:val="left"/>
              <w:rPr>
                <w:sz w:val="20"/>
                <w:szCs w:val="20"/>
              </w:rPr>
            </w:pPr>
          </w:p>
          <w:p w14:paraId="1F8133B2" w14:textId="77777777" w:rsidR="00C86307" w:rsidRDefault="0063073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</w:t>
            </w:r>
            <w:r w:rsidR="00C86307">
              <w:rPr>
                <w:sz w:val="20"/>
                <w:szCs w:val="20"/>
              </w:rPr>
              <w:t>what support services are and how they are currently being provided and delivered</w:t>
            </w:r>
          </w:p>
          <w:p w14:paraId="1F8133B3" w14:textId="77777777" w:rsidR="00C86307" w:rsidRPr="00E3763B" w:rsidRDefault="00C86307" w:rsidP="008512D0">
            <w:pPr>
              <w:ind w:left="33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F8133B4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</w:p>
          <w:p w14:paraId="1F8133B5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1F8133B6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</w:p>
          <w:p w14:paraId="1F8133B7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</w:p>
          <w:p w14:paraId="1F8133B8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1F8133B9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</w:p>
          <w:p w14:paraId="1F8133BA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</w:p>
          <w:p w14:paraId="1F8133BB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14:paraId="1F8133BC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</w:p>
          <w:p w14:paraId="1F8133BD" w14:textId="77777777" w:rsidR="00C86307" w:rsidRPr="00E3763B" w:rsidRDefault="00C86307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1F8133BE" w14:textId="77777777" w:rsidR="00C86307" w:rsidRDefault="00C86307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F8133BF" w14:textId="77777777" w:rsidR="00C86307" w:rsidRDefault="00C86307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0114D2">
              <w:rPr>
                <w:sz w:val="20"/>
                <w:szCs w:val="20"/>
              </w:rPr>
              <w:t xml:space="preserve">Describe the role of service level agreements, their typical structure and content </w:t>
            </w:r>
          </w:p>
          <w:p w14:paraId="34C72F0D" w14:textId="77777777" w:rsidR="009E0900" w:rsidRDefault="009E0900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F8133C0" w14:textId="77777777" w:rsidR="00C86307" w:rsidRDefault="00C86307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0114D2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scribe how service level agreements are used with both customers and suppliers in own organisation</w:t>
            </w:r>
          </w:p>
          <w:p w14:paraId="5864E10F" w14:textId="77777777" w:rsidR="009E0900" w:rsidRDefault="009E0900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F8133C1" w14:textId="77777777" w:rsidR="00C86307" w:rsidRDefault="00630736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C86307">
              <w:rPr>
                <w:sz w:val="20"/>
                <w:szCs w:val="20"/>
              </w:rPr>
              <w:t>escribe what support services are currently being provided by the facilities management department and how these are delivered</w:t>
            </w:r>
          </w:p>
          <w:p w14:paraId="1F8133C2" w14:textId="77777777" w:rsidR="00C86307" w:rsidRPr="00E3763B" w:rsidRDefault="00C86307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C86307" w:rsidRPr="00C866A4" w14:paraId="1F8133D0" w14:textId="77777777" w:rsidTr="009E0900">
        <w:tc>
          <w:tcPr>
            <w:tcW w:w="4068" w:type="dxa"/>
            <w:gridSpan w:val="3"/>
          </w:tcPr>
          <w:p w14:paraId="1F8133C4" w14:textId="77777777" w:rsidR="00C86307" w:rsidRDefault="00C86307" w:rsidP="008512D0">
            <w:pPr>
              <w:jc w:val="left"/>
              <w:rPr>
                <w:sz w:val="20"/>
                <w:szCs w:val="20"/>
              </w:rPr>
            </w:pPr>
          </w:p>
          <w:p w14:paraId="1F8133C5" w14:textId="77777777" w:rsidR="00C86307" w:rsidRDefault="00C86307" w:rsidP="008512D0">
            <w:pPr>
              <w:tabs>
                <w:tab w:val="left" w:pos="317"/>
              </w:tabs>
              <w:ind w:left="317" w:hanging="3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ab/>
              <w:t xml:space="preserve">Understand the options of delivering support services </w:t>
            </w:r>
          </w:p>
          <w:p w14:paraId="1F8133C6" w14:textId="77777777" w:rsidR="00C86307" w:rsidRPr="00E3763B" w:rsidRDefault="00C86307" w:rsidP="008512D0">
            <w:pPr>
              <w:tabs>
                <w:tab w:val="left" w:pos="317"/>
              </w:tabs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F8133C7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</w:p>
          <w:p w14:paraId="1F8133C8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1F8133C9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</w:p>
          <w:p w14:paraId="1F8133CA" w14:textId="77777777" w:rsidR="00C86307" w:rsidRDefault="00C86307" w:rsidP="008512D0">
            <w:pPr>
              <w:jc w:val="center"/>
              <w:rPr>
                <w:sz w:val="20"/>
                <w:szCs w:val="20"/>
              </w:rPr>
            </w:pPr>
          </w:p>
          <w:p w14:paraId="1F8133CB" w14:textId="77777777" w:rsidR="00C86307" w:rsidRPr="00E3763B" w:rsidRDefault="00C8630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4995" w:type="dxa"/>
            <w:tcBorders>
              <w:left w:val="nil"/>
            </w:tcBorders>
          </w:tcPr>
          <w:p w14:paraId="1F8133CC" w14:textId="77777777" w:rsidR="00C86307" w:rsidRDefault="00C86307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F8133CD" w14:textId="77777777" w:rsidR="00C86307" w:rsidRDefault="00C86307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various ways of providing support services to meet organisational requirements</w:t>
            </w:r>
          </w:p>
          <w:p w14:paraId="311AE666" w14:textId="77777777" w:rsidR="009E0900" w:rsidRDefault="009E0900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F8133CE" w14:textId="77777777" w:rsidR="00C86307" w:rsidRDefault="00C86307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the quality of support services is measured and monitored</w:t>
            </w:r>
          </w:p>
          <w:p w14:paraId="1F8133CF" w14:textId="77777777" w:rsidR="00C86307" w:rsidRPr="00E3763B" w:rsidRDefault="00C86307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C86307" w14:paraId="1F8133D3" w14:textId="77777777" w:rsidTr="009E0900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F8133D1" w14:textId="77777777" w:rsidR="00C86307" w:rsidRDefault="00C86307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1F8133D2" w14:textId="77777777" w:rsidR="00C86307" w:rsidRDefault="00C86307" w:rsidP="008512D0">
            <w:pPr>
              <w:pStyle w:val="TableText"/>
              <w:jc w:val="both"/>
            </w:pPr>
          </w:p>
        </w:tc>
      </w:tr>
      <w:tr w:rsidR="00C86307" w14:paraId="1F8133D6" w14:textId="77777777" w:rsidTr="009E0900">
        <w:tc>
          <w:tcPr>
            <w:tcW w:w="4068" w:type="dxa"/>
            <w:gridSpan w:val="3"/>
          </w:tcPr>
          <w:p w14:paraId="1F8133D4" w14:textId="77777777" w:rsidR="00C86307" w:rsidRDefault="00C86307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1F8133D5" w14:textId="77777777" w:rsidR="00C86307" w:rsidRDefault="00C86307" w:rsidP="008512D0">
            <w:pPr>
              <w:pStyle w:val="TableText"/>
            </w:pPr>
            <w:r w:rsidRPr="00E3763B">
              <w:t xml:space="preserve">To develop </w:t>
            </w:r>
            <w:r>
              <w:t>an understanding of support services operations in an organisation.</w:t>
            </w:r>
          </w:p>
        </w:tc>
      </w:tr>
      <w:tr w:rsidR="00396D6D" w:rsidRPr="00C866A4" w14:paraId="1F8133DC" w14:textId="77777777" w:rsidTr="009E0900">
        <w:trPr>
          <w:cantSplit/>
        </w:trPr>
        <w:tc>
          <w:tcPr>
            <w:tcW w:w="4068" w:type="dxa"/>
            <w:gridSpan w:val="3"/>
          </w:tcPr>
          <w:p w14:paraId="1F8133DA" w14:textId="77777777" w:rsidR="00396D6D" w:rsidRPr="003F3E8E" w:rsidRDefault="00396D6D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1F8133DB" w14:textId="77777777" w:rsidR="00396D6D" w:rsidRPr="00A6457C" w:rsidRDefault="00396D6D" w:rsidP="005773A9">
            <w:pPr>
              <w:pStyle w:val="TableText"/>
              <w:rPr>
                <w:b/>
                <w:bCs/>
              </w:rPr>
            </w:pPr>
            <w:r w:rsidRPr="00A6457C">
              <w:t xml:space="preserve">Links to </w:t>
            </w:r>
            <w:r>
              <w:t xml:space="preserve">Facilities </w:t>
            </w:r>
            <w:r w:rsidRPr="00A6457C">
              <w:t>Management</w:t>
            </w:r>
            <w:r>
              <w:t xml:space="preserve"> 200</w:t>
            </w:r>
            <w:r w:rsidRPr="00A6457C">
              <w:t xml:space="preserve">8 NOS: </w:t>
            </w:r>
            <w:r>
              <w:t>FM305, FM317</w:t>
            </w:r>
          </w:p>
        </w:tc>
      </w:tr>
      <w:tr w:rsidR="00396D6D" w14:paraId="1F8133DF" w14:textId="77777777" w:rsidTr="009E0900">
        <w:tc>
          <w:tcPr>
            <w:tcW w:w="4068" w:type="dxa"/>
            <w:gridSpan w:val="3"/>
          </w:tcPr>
          <w:p w14:paraId="1F8133DD" w14:textId="77777777" w:rsidR="00396D6D" w:rsidRPr="003F3E8E" w:rsidRDefault="00396D6D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1F8133DE" w14:textId="77777777" w:rsidR="00396D6D" w:rsidRPr="003F3E8E" w:rsidRDefault="00396D6D" w:rsidP="005773A9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396D6D" w14:paraId="1F8133E3" w14:textId="77777777" w:rsidTr="009E0900">
        <w:tc>
          <w:tcPr>
            <w:tcW w:w="4068" w:type="dxa"/>
            <w:gridSpan w:val="3"/>
          </w:tcPr>
          <w:p w14:paraId="1F8133E0" w14:textId="77777777" w:rsidR="00396D6D" w:rsidRPr="003F3E8E" w:rsidRDefault="00396D6D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1F8133E1" w14:textId="77777777" w:rsidR="00396D6D" w:rsidRPr="003F3E8E" w:rsidRDefault="00396D6D" w:rsidP="005773A9">
            <w:pPr>
              <w:rPr>
                <w:sz w:val="20"/>
                <w:szCs w:val="20"/>
              </w:rPr>
            </w:pPr>
          </w:p>
          <w:p w14:paraId="1F8133E2" w14:textId="77777777" w:rsidR="00396D6D" w:rsidRPr="003F3E8E" w:rsidRDefault="00396D6D" w:rsidP="0057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 Skills</w:t>
            </w:r>
          </w:p>
        </w:tc>
      </w:tr>
      <w:tr w:rsidR="00C86307" w14:paraId="1F8133E8" w14:textId="77777777" w:rsidTr="009E0900">
        <w:tc>
          <w:tcPr>
            <w:tcW w:w="4068" w:type="dxa"/>
            <w:gridSpan w:val="3"/>
          </w:tcPr>
          <w:p w14:paraId="1F8133E4" w14:textId="77777777" w:rsidR="00C86307" w:rsidRDefault="00C86307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14:paraId="1F8133E5" w14:textId="77777777" w:rsidR="00C86307" w:rsidRDefault="00C86307" w:rsidP="008512D0"/>
          <w:p w14:paraId="1F8133E6" w14:textId="77777777" w:rsidR="00666A45" w:rsidRPr="00666A45" w:rsidRDefault="00666A45" w:rsidP="00666A45">
            <w:pPr>
              <w:jc w:val="left"/>
              <w:rPr>
                <w:sz w:val="20"/>
                <w:szCs w:val="20"/>
              </w:rPr>
            </w:pPr>
            <w:r w:rsidRPr="00666A45">
              <w:rPr>
                <w:sz w:val="20"/>
                <w:szCs w:val="20"/>
              </w:rPr>
              <w:t>M3.40 - Understanding support services operations in an organisation</w:t>
            </w:r>
          </w:p>
          <w:p w14:paraId="1F8133E7" w14:textId="77777777" w:rsidR="00666A45" w:rsidRPr="00666A45" w:rsidRDefault="00666A45" w:rsidP="008512D0"/>
        </w:tc>
      </w:tr>
      <w:tr w:rsidR="00C86307" w14:paraId="1F8133EB" w14:textId="77777777" w:rsidTr="009E0900">
        <w:tc>
          <w:tcPr>
            <w:tcW w:w="4068" w:type="dxa"/>
            <w:gridSpan w:val="3"/>
          </w:tcPr>
          <w:p w14:paraId="1F8133E9" w14:textId="77777777" w:rsidR="00C86307" w:rsidRDefault="00C86307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1F8133EA" w14:textId="77777777" w:rsidR="00C86307" w:rsidRPr="0033059B" w:rsidRDefault="00C86307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C86307" w14:paraId="1F8133F3" w14:textId="77777777" w:rsidTr="009E0900">
        <w:tc>
          <w:tcPr>
            <w:tcW w:w="9639" w:type="dxa"/>
            <w:gridSpan w:val="5"/>
            <w:shd w:val="clear" w:color="auto" w:fill="99CCFF"/>
          </w:tcPr>
          <w:p w14:paraId="1F8133F2" w14:textId="77777777" w:rsidR="00C86307" w:rsidRDefault="00C86307" w:rsidP="008512D0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C86307" w:rsidRPr="00CD0A03" w14:paraId="1F8133F5" w14:textId="77777777" w:rsidTr="009E0900">
        <w:trPr>
          <w:trHeight w:val="445"/>
        </w:trPr>
        <w:tc>
          <w:tcPr>
            <w:tcW w:w="9639" w:type="dxa"/>
            <w:gridSpan w:val="5"/>
          </w:tcPr>
          <w:p w14:paraId="1F8133F4" w14:textId="77777777" w:rsidR="00C86307" w:rsidRPr="00CD0A03" w:rsidRDefault="00C86307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C86307" w:rsidRPr="00C866A4" w14:paraId="1F8133FD" w14:textId="77777777" w:rsidTr="009E0900">
        <w:tc>
          <w:tcPr>
            <w:tcW w:w="392" w:type="dxa"/>
          </w:tcPr>
          <w:p w14:paraId="1F8133F6" w14:textId="77777777" w:rsidR="00C86307" w:rsidRDefault="00C86307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14:paraId="1F8133F7" w14:textId="77777777" w:rsidR="00C86307" w:rsidRPr="0074367C" w:rsidRDefault="00C86307" w:rsidP="008512D0">
            <w:pPr>
              <w:jc w:val="left"/>
              <w:rPr>
                <w:sz w:val="20"/>
                <w:szCs w:val="20"/>
              </w:rPr>
            </w:pPr>
          </w:p>
          <w:p w14:paraId="1F8133F8" w14:textId="77777777" w:rsidR="00C86307" w:rsidRPr="00610AFE" w:rsidRDefault="00C86307" w:rsidP="00610AFE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610AFE">
              <w:rPr>
                <w:sz w:val="20"/>
                <w:szCs w:val="20"/>
              </w:rPr>
              <w:t>Knowledge and understanding of the products or services required by the organisation (for example location, resources available to pay for it, image, constraints of physical buildings)</w:t>
            </w:r>
          </w:p>
          <w:p w14:paraId="1F8133F9" w14:textId="77777777" w:rsidR="00C86307" w:rsidRPr="00610AFE" w:rsidRDefault="00C86307" w:rsidP="00610AFE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610AFE">
              <w:rPr>
                <w:sz w:val="20"/>
                <w:szCs w:val="20"/>
              </w:rPr>
              <w:t xml:space="preserve">Requirements of occupants of buildings in terms of the ‘soft’ </w:t>
            </w:r>
            <w:r w:rsidR="00630736">
              <w:rPr>
                <w:sz w:val="20"/>
                <w:szCs w:val="20"/>
              </w:rPr>
              <w:t>facilities management s</w:t>
            </w:r>
            <w:r w:rsidRPr="00610AFE">
              <w:rPr>
                <w:sz w:val="20"/>
                <w:szCs w:val="20"/>
              </w:rPr>
              <w:t>upport services they need to function effectively (for example catering, waste disposal, reprographics, mail room functions, visitor management)</w:t>
            </w:r>
          </w:p>
          <w:p w14:paraId="1F8133FA" w14:textId="77777777" w:rsidR="00C86307" w:rsidRPr="00610AFE" w:rsidRDefault="00C86307" w:rsidP="00610AFE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610AFE">
              <w:rPr>
                <w:sz w:val="20"/>
                <w:szCs w:val="20"/>
              </w:rPr>
              <w:t>Awareness of new trends in support service operations</w:t>
            </w:r>
            <w:r w:rsidR="00630736">
              <w:rPr>
                <w:sz w:val="20"/>
                <w:szCs w:val="20"/>
              </w:rPr>
              <w:t xml:space="preserve"> </w:t>
            </w:r>
            <w:r w:rsidRPr="00610AFE">
              <w:rPr>
                <w:sz w:val="20"/>
                <w:szCs w:val="20"/>
              </w:rPr>
              <w:t>(for example scanning of documents, use of micro-</w:t>
            </w:r>
            <w:r w:rsidR="00630736" w:rsidRPr="00610AFE">
              <w:rPr>
                <w:sz w:val="20"/>
                <w:szCs w:val="20"/>
              </w:rPr>
              <w:t>fibres</w:t>
            </w:r>
            <w:r w:rsidRPr="00610AFE">
              <w:rPr>
                <w:sz w:val="20"/>
                <w:szCs w:val="20"/>
              </w:rPr>
              <w:t xml:space="preserve"> for cleaning, healthy eating, employer of choice campaigns, daytime cleaning, performance monitoring, re-cycling)</w:t>
            </w:r>
          </w:p>
          <w:p w14:paraId="1F8133FB" w14:textId="77777777" w:rsidR="00C86307" w:rsidRPr="00610AFE" w:rsidRDefault="00C86307" w:rsidP="00610AFE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610AFE">
              <w:rPr>
                <w:sz w:val="20"/>
                <w:szCs w:val="20"/>
              </w:rPr>
              <w:t xml:space="preserve">Relevant legislation (for example all applicable </w:t>
            </w:r>
            <w:r w:rsidR="005414D7">
              <w:rPr>
                <w:sz w:val="20"/>
                <w:szCs w:val="20"/>
              </w:rPr>
              <w:t>W</w:t>
            </w:r>
            <w:r w:rsidRPr="00610AFE">
              <w:rPr>
                <w:sz w:val="20"/>
                <w:szCs w:val="20"/>
              </w:rPr>
              <w:t xml:space="preserve">orkplace </w:t>
            </w:r>
            <w:r w:rsidR="00630736">
              <w:rPr>
                <w:sz w:val="20"/>
                <w:szCs w:val="20"/>
              </w:rPr>
              <w:t>H</w:t>
            </w:r>
            <w:r w:rsidRPr="00610AFE">
              <w:rPr>
                <w:sz w:val="20"/>
                <w:szCs w:val="20"/>
              </w:rPr>
              <w:t xml:space="preserve">ealth, </w:t>
            </w:r>
            <w:r w:rsidR="00630736">
              <w:rPr>
                <w:sz w:val="20"/>
                <w:szCs w:val="20"/>
              </w:rPr>
              <w:t>S</w:t>
            </w:r>
            <w:r w:rsidRPr="00610AFE">
              <w:rPr>
                <w:sz w:val="20"/>
                <w:szCs w:val="20"/>
              </w:rPr>
              <w:t xml:space="preserve">afety and </w:t>
            </w:r>
            <w:r w:rsidR="00630736">
              <w:rPr>
                <w:sz w:val="20"/>
                <w:szCs w:val="20"/>
              </w:rPr>
              <w:t>F</w:t>
            </w:r>
            <w:r w:rsidRPr="00610AFE">
              <w:rPr>
                <w:sz w:val="20"/>
                <w:szCs w:val="20"/>
              </w:rPr>
              <w:t xml:space="preserve">ire </w:t>
            </w:r>
            <w:r w:rsidR="00630736">
              <w:rPr>
                <w:sz w:val="20"/>
                <w:szCs w:val="20"/>
              </w:rPr>
              <w:t>R</w:t>
            </w:r>
            <w:r w:rsidRPr="00610AFE">
              <w:rPr>
                <w:sz w:val="20"/>
                <w:szCs w:val="20"/>
              </w:rPr>
              <w:t>egulation, Working Time Regulations, Workplace Regulations, Private Security Industry Act, Transfer of Undertakings for the Protection of Employment (TUPE), Environmental Legislation)</w:t>
            </w:r>
          </w:p>
          <w:p w14:paraId="1F8133FC" w14:textId="77777777" w:rsidR="00C86307" w:rsidRPr="0074367C" w:rsidRDefault="00C86307" w:rsidP="008512D0">
            <w:pPr>
              <w:ind w:left="36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C86307" w:rsidRPr="00C866A4" w14:paraId="1F81340A" w14:textId="77777777" w:rsidTr="009E0900">
        <w:tc>
          <w:tcPr>
            <w:tcW w:w="392" w:type="dxa"/>
          </w:tcPr>
          <w:p w14:paraId="1F8133FE" w14:textId="77777777" w:rsidR="00C86307" w:rsidRDefault="00C86307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14:paraId="1F8133FF" w14:textId="77777777" w:rsidR="00C86307" w:rsidRPr="0074367C" w:rsidRDefault="00C86307" w:rsidP="008512D0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n-US"/>
              </w:rPr>
            </w:pPr>
          </w:p>
          <w:p w14:paraId="1F813400" w14:textId="77777777" w:rsidR="00C86307" w:rsidRPr="0074367C" w:rsidRDefault="00C86307" w:rsidP="00C86307">
            <w:pPr>
              <w:numPr>
                <w:ilvl w:val="0"/>
                <w:numId w:val="3"/>
              </w:numPr>
              <w:tabs>
                <w:tab w:val="clear" w:pos="720"/>
                <w:tab w:val="num" w:pos="293"/>
              </w:tabs>
              <w:autoSpaceDE w:val="0"/>
              <w:autoSpaceDN w:val="0"/>
              <w:adjustRightInd w:val="0"/>
              <w:ind w:left="293" w:hanging="293"/>
              <w:jc w:val="left"/>
              <w:rPr>
                <w:sz w:val="20"/>
                <w:szCs w:val="20"/>
                <w:lang w:val="en-US"/>
              </w:rPr>
            </w:pPr>
            <w:r w:rsidRPr="0074367C">
              <w:rPr>
                <w:sz w:val="20"/>
                <w:szCs w:val="20"/>
                <w:lang w:val="en-US"/>
              </w:rPr>
              <w:t xml:space="preserve">Awareness and understanding of service level agreements, their </w:t>
            </w:r>
            <w:r>
              <w:rPr>
                <w:sz w:val="20"/>
                <w:szCs w:val="20"/>
                <w:lang w:val="en-US"/>
              </w:rPr>
              <w:t xml:space="preserve">typical and content </w:t>
            </w:r>
            <w:r w:rsidRPr="0074367C">
              <w:rPr>
                <w:sz w:val="20"/>
                <w:szCs w:val="20"/>
                <w:lang w:val="en-US"/>
              </w:rPr>
              <w:t>and how they are used both with customers and suppliers</w:t>
            </w:r>
          </w:p>
          <w:p w14:paraId="1F813401" w14:textId="77777777" w:rsidR="00C86307" w:rsidRPr="0074367C" w:rsidRDefault="00C86307" w:rsidP="00C86307">
            <w:pPr>
              <w:numPr>
                <w:ilvl w:val="0"/>
                <w:numId w:val="3"/>
              </w:numPr>
              <w:tabs>
                <w:tab w:val="clear" w:pos="720"/>
                <w:tab w:val="num" w:pos="293"/>
              </w:tabs>
              <w:autoSpaceDE w:val="0"/>
              <w:autoSpaceDN w:val="0"/>
              <w:adjustRightInd w:val="0"/>
              <w:ind w:left="293" w:hanging="293"/>
              <w:jc w:val="left"/>
              <w:rPr>
                <w:sz w:val="20"/>
                <w:szCs w:val="20"/>
                <w:lang w:val="en-US"/>
              </w:rPr>
            </w:pPr>
            <w:r w:rsidRPr="0074367C">
              <w:rPr>
                <w:sz w:val="20"/>
                <w:szCs w:val="20"/>
                <w:lang w:val="en-US"/>
              </w:rPr>
              <w:t>Interpretation of formal agreements with clients and customers for the delivery of services</w:t>
            </w:r>
          </w:p>
          <w:p w14:paraId="1F813402" w14:textId="77777777" w:rsidR="00C86307" w:rsidRDefault="00C86307" w:rsidP="00C86307">
            <w:pPr>
              <w:numPr>
                <w:ilvl w:val="0"/>
                <w:numId w:val="3"/>
              </w:numPr>
              <w:tabs>
                <w:tab w:val="clear" w:pos="720"/>
                <w:tab w:val="num" w:pos="293"/>
              </w:tabs>
              <w:autoSpaceDE w:val="0"/>
              <w:autoSpaceDN w:val="0"/>
              <w:adjustRightInd w:val="0"/>
              <w:ind w:left="293" w:hanging="293"/>
              <w:jc w:val="left"/>
              <w:rPr>
                <w:sz w:val="20"/>
                <w:szCs w:val="20"/>
                <w:lang w:val="en-US"/>
              </w:rPr>
            </w:pPr>
            <w:r w:rsidRPr="0074367C">
              <w:rPr>
                <w:sz w:val="20"/>
                <w:szCs w:val="20"/>
                <w:lang w:val="en-US"/>
              </w:rPr>
              <w:t>Customer service procedures (for example help desk operations, how to log customer information, how to initiate service calls, how to close jobs</w:t>
            </w:r>
            <w:r w:rsidR="00630736">
              <w:rPr>
                <w:sz w:val="20"/>
                <w:szCs w:val="20"/>
                <w:lang w:val="en-US"/>
              </w:rPr>
              <w:t>)</w:t>
            </w:r>
          </w:p>
          <w:p w14:paraId="1F813403" w14:textId="77777777" w:rsidR="00C86307" w:rsidRPr="0074367C" w:rsidRDefault="00C86307" w:rsidP="00630736">
            <w:pPr>
              <w:numPr>
                <w:ilvl w:val="0"/>
                <w:numId w:val="3"/>
              </w:numPr>
              <w:tabs>
                <w:tab w:val="clear" w:pos="720"/>
                <w:tab w:val="num" w:pos="293"/>
              </w:tabs>
              <w:autoSpaceDE w:val="0"/>
              <w:autoSpaceDN w:val="0"/>
              <w:adjustRightInd w:val="0"/>
              <w:ind w:left="293" w:hanging="293"/>
              <w:jc w:val="left"/>
              <w:rPr>
                <w:sz w:val="20"/>
                <w:szCs w:val="20"/>
                <w:lang w:val="en-US"/>
              </w:rPr>
            </w:pPr>
            <w:r w:rsidRPr="0074367C">
              <w:rPr>
                <w:sz w:val="20"/>
                <w:szCs w:val="20"/>
                <w:lang w:val="en-US"/>
              </w:rPr>
              <w:t>Authorisation procedures (e.g. how to confirm caller iden</w:t>
            </w:r>
            <w:r w:rsidR="00630736">
              <w:rPr>
                <w:sz w:val="20"/>
                <w:szCs w:val="20"/>
                <w:lang w:val="en-US"/>
              </w:rPr>
              <w:t>tity, how to validate requests)</w:t>
            </w:r>
          </w:p>
          <w:p w14:paraId="1F813404" w14:textId="77777777" w:rsidR="00C86307" w:rsidRPr="0074367C" w:rsidRDefault="00C86307" w:rsidP="00630736">
            <w:pPr>
              <w:numPr>
                <w:ilvl w:val="0"/>
                <w:numId w:val="3"/>
              </w:numPr>
              <w:tabs>
                <w:tab w:val="clear" w:pos="720"/>
                <w:tab w:val="num" w:pos="293"/>
              </w:tabs>
              <w:autoSpaceDE w:val="0"/>
              <w:autoSpaceDN w:val="0"/>
              <w:adjustRightInd w:val="0"/>
              <w:ind w:left="293" w:hanging="293"/>
              <w:jc w:val="left"/>
              <w:rPr>
                <w:sz w:val="20"/>
                <w:szCs w:val="20"/>
                <w:lang w:val="en-US"/>
              </w:rPr>
            </w:pPr>
            <w:r w:rsidRPr="0074367C">
              <w:rPr>
                <w:sz w:val="20"/>
                <w:szCs w:val="20"/>
                <w:lang w:val="en-US"/>
              </w:rPr>
              <w:t>Escalation, re</w:t>
            </w:r>
            <w:r w:rsidR="00630736">
              <w:rPr>
                <w:sz w:val="20"/>
                <w:szCs w:val="20"/>
                <w:lang w:val="en-US"/>
              </w:rPr>
              <w:t>solution and complaint handling</w:t>
            </w:r>
          </w:p>
          <w:p w14:paraId="1F813405" w14:textId="77777777" w:rsidR="00C86307" w:rsidRPr="0074367C" w:rsidRDefault="00630736" w:rsidP="00630736">
            <w:pPr>
              <w:numPr>
                <w:ilvl w:val="0"/>
                <w:numId w:val="3"/>
              </w:numPr>
              <w:tabs>
                <w:tab w:val="clear" w:pos="720"/>
                <w:tab w:val="num" w:pos="293"/>
              </w:tabs>
              <w:autoSpaceDE w:val="0"/>
              <w:autoSpaceDN w:val="0"/>
              <w:adjustRightInd w:val="0"/>
              <w:ind w:left="293" w:hanging="293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Quality assurance procedures</w:t>
            </w:r>
          </w:p>
          <w:p w14:paraId="1F813406" w14:textId="77777777" w:rsidR="00C86307" w:rsidRPr="0074367C" w:rsidRDefault="00C86307" w:rsidP="00630736">
            <w:pPr>
              <w:numPr>
                <w:ilvl w:val="0"/>
                <w:numId w:val="3"/>
              </w:numPr>
              <w:tabs>
                <w:tab w:val="clear" w:pos="720"/>
                <w:tab w:val="num" w:pos="293"/>
              </w:tabs>
              <w:autoSpaceDE w:val="0"/>
              <w:autoSpaceDN w:val="0"/>
              <w:adjustRightInd w:val="0"/>
              <w:ind w:left="293" w:hanging="293"/>
              <w:jc w:val="left"/>
              <w:rPr>
                <w:sz w:val="20"/>
                <w:szCs w:val="20"/>
                <w:lang w:val="en-US"/>
              </w:rPr>
            </w:pPr>
            <w:r w:rsidRPr="0074367C">
              <w:rPr>
                <w:sz w:val="20"/>
                <w:szCs w:val="20"/>
                <w:lang w:val="en-US"/>
              </w:rPr>
              <w:t>Compliance with relevant legislation and regulations (e.g.</w:t>
            </w:r>
            <w:r w:rsidR="00630736">
              <w:rPr>
                <w:sz w:val="20"/>
                <w:szCs w:val="20"/>
                <w:lang w:val="en-US"/>
              </w:rPr>
              <w:t xml:space="preserve"> Health and Safety at Work Act)</w:t>
            </w:r>
          </w:p>
          <w:p w14:paraId="1F813407" w14:textId="77777777" w:rsidR="00C86307" w:rsidRPr="0074367C" w:rsidRDefault="00C86307" w:rsidP="00630736">
            <w:pPr>
              <w:numPr>
                <w:ilvl w:val="0"/>
                <w:numId w:val="3"/>
              </w:numPr>
              <w:tabs>
                <w:tab w:val="clear" w:pos="720"/>
                <w:tab w:val="num" w:pos="293"/>
              </w:tabs>
              <w:autoSpaceDE w:val="0"/>
              <w:autoSpaceDN w:val="0"/>
              <w:adjustRightInd w:val="0"/>
              <w:ind w:left="293" w:hanging="293"/>
              <w:jc w:val="left"/>
              <w:rPr>
                <w:sz w:val="20"/>
                <w:szCs w:val="20"/>
                <w:lang w:val="en-US"/>
              </w:rPr>
            </w:pPr>
            <w:r w:rsidRPr="0074367C">
              <w:rPr>
                <w:sz w:val="20"/>
                <w:szCs w:val="20"/>
                <w:lang w:val="en-US"/>
              </w:rPr>
              <w:t>Maintenance and communication of facilities management/department brand or image</w:t>
            </w:r>
          </w:p>
          <w:p w14:paraId="1F813408" w14:textId="77777777" w:rsidR="00C86307" w:rsidRPr="0074367C" w:rsidRDefault="00C86307" w:rsidP="00C86307">
            <w:pPr>
              <w:numPr>
                <w:ilvl w:val="1"/>
                <w:numId w:val="3"/>
              </w:numPr>
              <w:tabs>
                <w:tab w:val="clear" w:pos="1440"/>
                <w:tab w:val="num" w:pos="293"/>
              </w:tabs>
              <w:autoSpaceDE w:val="0"/>
              <w:autoSpaceDN w:val="0"/>
              <w:adjustRightInd w:val="0"/>
              <w:ind w:left="293" w:hanging="293"/>
              <w:jc w:val="left"/>
              <w:rPr>
                <w:sz w:val="20"/>
                <w:szCs w:val="20"/>
                <w:lang w:val="en-US"/>
              </w:rPr>
            </w:pPr>
            <w:r w:rsidRPr="0074367C">
              <w:rPr>
                <w:sz w:val="20"/>
                <w:szCs w:val="20"/>
                <w:lang w:val="en-US"/>
              </w:rPr>
              <w:t>Range of support services (for example cleaning, catering, security, reception, reprographics,</w:t>
            </w:r>
            <w:r w:rsidRPr="00E9371B">
              <w:rPr>
                <w:sz w:val="20"/>
                <w:szCs w:val="20"/>
                <w:lang w:val="en-US"/>
              </w:rPr>
              <w:t xml:space="preserve"> ‘front of house’ and ‘back-office’ administratio</w:t>
            </w:r>
            <w:r w:rsidRPr="0074367C">
              <w:rPr>
                <w:sz w:val="20"/>
                <w:szCs w:val="20"/>
                <w:lang w:val="en-US"/>
              </w:rPr>
              <w:t>n)</w:t>
            </w:r>
          </w:p>
          <w:p w14:paraId="1F813409" w14:textId="77777777" w:rsidR="00C86307" w:rsidRPr="0074367C" w:rsidRDefault="00C86307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C86307" w:rsidRPr="00C866A4" w14:paraId="1F813412" w14:textId="77777777" w:rsidTr="009E0900">
        <w:tc>
          <w:tcPr>
            <w:tcW w:w="392" w:type="dxa"/>
          </w:tcPr>
          <w:p w14:paraId="1F81340B" w14:textId="77777777" w:rsidR="00C86307" w:rsidRDefault="00C86307" w:rsidP="008512D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9247" w:type="dxa"/>
            <w:gridSpan w:val="4"/>
          </w:tcPr>
          <w:p w14:paraId="1F81340C" w14:textId="77777777" w:rsidR="00C86307" w:rsidRPr="0074367C" w:rsidRDefault="00C86307" w:rsidP="008512D0">
            <w:pPr>
              <w:jc w:val="left"/>
              <w:rPr>
                <w:sz w:val="20"/>
                <w:szCs w:val="20"/>
              </w:rPr>
            </w:pPr>
          </w:p>
          <w:p w14:paraId="1F81340D" w14:textId="77777777" w:rsidR="00C86307" w:rsidRPr="0074367C" w:rsidRDefault="00C86307" w:rsidP="00C86307">
            <w:pPr>
              <w:numPr>
                <w:ilvl w:val="1"/>
                <w:numId w:val="3"/>
              </w:numPr>
              <w:tabs>
                <w:tab w:val="clear" w:pos="1440"/>
                <w:tab w:val="num" w:pos="293"/>
              </w:tabs>
              <w:autoSpaceDE w:val="0"/>
              <w:autoSpaceDN w:val="0"/>
              <w:adjustRightInd w:val="0"/>
              <w:ind w:left="293" w:hanging="293"/>
              <w:jc w:val="left"/>
              <w:rPr>
                <w:sz w:val="20"/>
                <w:szCs w:val="20"/>
              </w:rPr>
            </w:pPr>
            <w:r w:rsidRPr="0074367C">
              <w:rPr>
                <w:sz w:val="20"/>
                <w:szCs w:val="20"/>
              </w:rPr>
              <w:t xml:space="preserve">Range of </w:t>
            </w:r>
            <w:r w:rsidRPr="0074367C">
              <w:rPr>
                <w:sz w:val="20"/>
                <w:szCs w:val="20"/>
                <w:lang w:val="en-US"/>
              </w:rPr>
              <w:t>delivery</w:t>
            </w:r>
            <w:r w:rsidRPr="0074367C">
              <w:rPr>
                <w:sz w:val="20"/>
                <w:szCs w:val="20"/>
              </w:rPr>
              <w:t xml:space="preserve"> options (for example in-house, </w:t>
            </w:r>
            <w:r>
              <w:rPr>
                <w:sz w:val="20"/>
                <w:szCs w:val="20"/>
              </w:rPr>
              <w:t xml:space="preserve">external </w:t>
            </w:r>
            <w:r w:rsidRPr="0074367C">
              <w:rPr>
                <w:sz w:val="20"/>
                <w:szCs w:val="20"/>
              </w:rPr>
              <w:t>contract</w:t>
            </w:r>
            <w:r>
              <w:rPr>
                <w:sz w:val="20"/>
                <w:szCs w:val="20"/>
              </w:rPr>
              <w:t>or</w:t>
            </w:r>
            <w:r w:rsidRPr="0074367C">
              <w:rPr>
                <w:sz w:val="20"/>
                <w:szCs w:val="20"/>
              </w:rPr>
              <w:t>, partner</w:t>
            </w:r>
            <w:r>
              <w:rPr>
                <w:sz w:val="20"/>
                <w:szCs w:val="20"/>
              </w:rPr>
              <w:t>ship working</w:t>
            </w:r>
            <w:r w:rsidRPr="0074367C">
              <w:rPr>
                <w:sz w:val="20"/>
                <w:szCs w:val="20"/>
              </w:rPr>
              <w:t>, joint-venture</w:t>
            </w:r>
            <w:r>
              <w:rPr>
                <w:sz w:val="20"/>
                <w:szCs w:val="20"/>
              </w:rPr>
              <w:t>s and shared services</w:t>
            </w:r>
            <w:r w:rsidRPr="0074367C">
              <w:rPr>
                <w:sz w:val="20"/>
                <w:szCs w:val="20"/>
              </w:rPr>
              <w:t>)</w:t>
            </w:r>
          </w:p>
          <w:p w14:paraId="1F81340E" w14:textId="77777777" w:rsidR="00C86307" w:rsidRPr="009138D8" w:rsidRDefault="00C86307" w:rsidP="00C86307">
            <w:pPr>
              <w:numPr>
                <w:ilvl w:val="0"/>
                <w:numId w:val="4"/>
              </w:numPr>
              <w:tabs>
                <w:tab w:val="clear" w:pos="720"/>
              </w:tabs>
              <w:ind w:left="293" w:hanging="284"/>
              <w:jc w:val="left"/>
              <w:rPr>
                <w:sz w:val="20"/>
                <w:szCs w:val="20"/>
              </w:rPr>
            </w:pPr>
            <w:r w:rsidRPr="0074367C">
              <w:rPr>
                <w:sz w:val="20"/>
                <w:szCs w:val="20"/>
              </w:rPr>
              <w:t>Performance measurement and monitoring tools (</w:t>
            </w:r>
            <w:r w:rsidR="00630736">
              <w:rPr>
                <w:sz w:val="20"/>
                <w:szCs w:val="20"/>
              </w:rPr>
              <w:t>k</w:t>
            </w:r>
            <w:r w:rsidRPr="0074367C">
              <w:rPr>
                <w:sz w:val="20"/>
                <w:szCs w:val="20"/>
              </w:rPr>
              <w:t xml:space="preserve">ey performance indicators (KPIs), inspections, audits, customer surveys, visual management, in-house incident </w:t>
            </w:r>
            <w:r w:rsidRPr="009138D8">
              <w:rPr>
                <w:sz w:val="20"/>
                <w:szCs w:val="20"/>
              </w:rPr>
              <w:t>records, helpdesk reports)</w:t>
            </w:r>
          </w:p>
          <w:p w14:paraId="1F81340F" w14:textId="77777777" w:rsidR="00C86307" w:rsidRDefault="00C86307" w:rsidP="00C86307">
            <w:pPr>
              <w:numPr>
                <w:ilvl w:val="0"/>
                <w:numId w:val="4"/>
              </w:numPr>
              <w:tabs>
                <w:tab w:val="clear" w:pos="720"/>
              </w:tabs>
              <w:ind w:left="293" w:hanging="284"/>
              <w:jc w:val="left"/>
              <w:rPr>
                <w:sz w:val="20"/>
                <w:szCs w:val="20"/>
              </w:rPr>
            </w:pPr>
            <w:r w:rsidRPr="009138D8">
              <w:rPr>
                <w:sz w:val="20"/>
                <w:szCs w:val="20"/>
              </w:rPr>
              <w:t>Internal, external or third party certification audits</w:t>
            </w:r>
          </w:p>
          <w:p w14:paraId="1F813410" w14:textId="77777777" w:rsidR="00C86307" w:rsidRPr="0054093C" w:rsidRDefault="00C86307" w:rsidP="00C86307">
            <w:pPr>
              <w:numPr>
                <w:ilvl w:val="0"/>
                <w:numId w:val="4"/>
              </w:numPr>
              <w:tabs>
                <w:tab w:val="clear" w:pos="720"/>
              </w:tabs>
              <w:ind w:left="293" w:hanging="284"/>
              <w:jc w:val="left"/>
              <w:rPr>
                <w:sz w:val="20"/>
                <w:szCs w:val="20"/>
              </w:rPr>
            </w:pPr>
            <w:r w:rsidRPr="0054093C">
              <w:rPr>
                <w:sz w:val="20"/>
                <w:szCs w:val="20"/>
              </w:rPr>
              <w:t>Managing contractors and suppliers</w:t>
            </w:r>
            <w:r w:rsidR="00630736">
              <w:rPr>
                <w:sz w:val="20"/>
                <w:szCs w:val="20"/>
              </w:rPr>
              <w:t xml:space="preserve">, </w:t>
            </w:r>
            <w:r w:rsidRPr="0054093C">
              <w:rPr>
                <w:sz w:val="20"/>
                <w:szCs w:val="20"/>
              </w:rPr>
              <w:t>contract administration</w:t>
            </w:r>
          </w:p>
          <w:p w14:paraId="1F813411" w14:textId="77777777" w:rsidR="00C86307" w:rsidRPr="0074367C" w:rsidRDefault="00C86307" w:rsidP="008512D0">
            <w:pPr>
              <w:ind w:left="9"/>
              <w:jc w:val="left"/>
              <w:rPr>
                <w:sz w:val="20"/>
                <w:szCs w:val="20"/>
              </w:rPr>
            </w:pPr>
          </w:p>
        </w:tc>
      </w:tr>
    </w:tbl>
    <w:p w14:paraId="1F813413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13416" w14:textId="77777777" w:rsidR="00E04EB6" w:rsidRDefault="00E04EB6">
      <w:r>
        <w:separator/>
      </w:r>
    </w:p>
  </w:endnote>
  <w:endnote w:type="continuationSeparator" w:id="0">
    <w:p w14:paraId="1F813417" w14:textId="77777777" w:rsidR="00E04EB6" w:rsidRDefault="00E0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FA193" w14:textId="77777777" w:rsidR="009E0900" w:rsidRPr="006F105D" w:rsidRDefault="009E0900" w:rsidP="009E0900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45B686ED" w14:textId="77777777" w:rsidR="009E0900" w:rsidRDefault="009E0900" w:rsidP="009E0900">
    <w:pPr>
      <w:pStyle w:val="Footer"/>
      <w:ind w:right="-279"/>
      <w:rPr>
        <w:sz w:val="20"/>
        <w:szCs w:val="20"/>
      </w:rPr>
    </w:pPr>
    <w:r w:rsidRPr="00B31070">
      <w:rPr>
        <w:sz w:val="20"/>
        <w:szCs w:val="20"/>
      </w:rPr>
      <w:t>Understanding support services operations in an organisation</w:t>
    </w:r>
  </w:p>
  <w:p w14:paraId="06631C20" w14:textId="77777777" w:rsidR="009E0900" w:rsidRPr="006F105D" w:rsidRDefault="009E0900" w:rsidP="009E0900">
    <w:pPr>
      <w:pStyle w:val="Footer"/>
      <w:tabs>
        <w:tab w:val="clear" w:pos="8306"/>
        <w:tab w:val="right" w:pos="8505"/>
      </w:tabs>
      <w:ind w:right="-279"/>
      <w:rPr>
        <w:sz w:val="20"/>
        <w:szCs w:val="20"/>
      </w:rPr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F105D">
      <w:rPr>
        <w:noProof/>
        <w:sz w:val="20"/>
        <w:szCs w:val="20"/>
      </w:rPr>
      <w:fldChar w:fldCharType="end"/>
    </w:r>
  </w:p>
  <w:p w14:paraId="1F813419" w14:textId="77777777" w:rsidR="00E04EB6" w:rsidRPr="009E0900" w:rsidRDefault="00E04EB6" w:rsidP="009E0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13414" w14:textId="77777777" w:rsidR="00E04EB6" w:rsidRDefault="00E04EB6">
      <w:r>
        <w:separator/>
      </w:r>
    </w:p>
  </w:footnote>
  <w:footnote w:type="continuationSeparator" w:id="0">
    <w:p w14:paraId="1F813415" w14:textId="77777777" w:rsidR="00E04EB6" w:rsidRDefault="00E04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13418" w14:textId="101C347C" w:rsidR="00E04EB6" w:rsidRDefault="009E090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16228F" wp14:editId="2807683A">
          <wp:simplePos x="0" y="0"/>
          <wp:positionH relativeFrom="column">
            <wp:posOffset>5148775</wp:posOffset>
          </wp:positionH>
          <wp:positionV relativeFrom="page">
            <wp:posOffset>294396</wp:posOffset>
          </wp:positionV>
          <wp:extent cx="979805" cy="5746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D3C39"/>
    <w:multiLevelType w:val="hybridMultilevel"/>
    <w:tmpl w:val="133099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B5B0C"/>
    <w:multiLevelType w:val="hybridMultilevel"/>
    <w:tmpl w:val="69566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84E4B"/>
    <w:multiLevelType w:val="hybridMultilevel"/>
    <w:tmpl w:val="A3F8DC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247D84"/>
    <w:multiLevelType w:val="hybridMultilevel"/>
    <w:tmpl w:val="0922D7B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81077C"/>
    <w:multiLevelType w:val="hybridMultilevel"/>
    <w:tmpl w:val="93A0E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956BF4"/>
    <w:multiLevelType w:val="hybridMultilevel"/>
    <w:tmpl w:val="832A64A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07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4D2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5566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5EB0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554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6D6D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5884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47D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093C"/>
    <w:rsid w:val="005411C0"/>
    <w:rsid w:val="005414D7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3A9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AFE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3BED"/>
    <w:rsid w:val="0062445C"/>
    <w:rsid w:val="00625C41"/>
    <w:rsid w:val="00625F4D"/>
    <w:rsid w:val="006262E3"/>
    <w:rsid w:val="00626684"/>
    <w:rsid w:val="00626CA8"/>
    <w:rsid w:val="006275AE"/>
    <w:rsid w:val="006304BB"/>
    <w:rsid w:val="00630736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66A45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67C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06A9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38D8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3D4C"/>
    <w:rsid w:val="009A5331"/>
    <w:rsid w:val="009A6598"/>
    <w:rsid w:val="009A6BFC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0900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457C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307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0E4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4EB6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901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1B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5A6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813394"/>
  <w14:defaultImageDpi w14:val="0"/>
  <w15:docId w15:val="{67B17FC8-46CB-476B-9155-B05BEE28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307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630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04EB6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C86307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C86307"/>
    <w:rPr>
      <w:b/>
      <w:bCs/>
    </w:rPr>
  </w:style>
  <w:style w:type="character" w:customStyle="1" w:styleId="HeaderChar">
    <w:name w:val="Header Char"/>
    <w:link w:val="Header"/>
    <w:uiPriority w:val="99"/>
    <w:locked/>
    <w:rsid w:val="00C86307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  <w:style w:type="character" w:customStyle="1" w:styleId="CharChar1">
    <w:name w:val="Char Char1"/>
    <w:uiPriority w:val="99"/>
    <w:locked/>
    <w:rsid w:val="003A5884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423</Value>
      <Value>1196</Value>
      <Value>1195</Value>
      <Value>95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606</Value>
      <Value>390</Value>
      <Value>593</Value>
      <Value>592</Value>
      <Value>49</Value>
      <Value>1011</Value>
      <Value>1010</Value>
      <Value>46</Value>
      <Value>1080</Value>
      <Value>1007</Value>
      <Value>1006</Value>
      <Value>1005</Value>
      <Value>1012</Value>
      <Value>37</Value>
      <Value>36</Value>
      <Value>349</Value>
      <Value>125</Value>
      <Value>126</Value>
      <Value>115</Value>
      <Value>124</Value>
      <Value>112</Value>
      <Value>116</Value>
      <Value>1083</Value>
      <Value>1082</Value>
      <Value>1081</Value>
      <Value>117</Value>
      <Value>9</Value>
      <Value>8</Value>
      <Value>114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8600-331</TermName>
          <TermId xmlns="http://schemas.microsoft.com/office/infopath/2007/PartnerControls">9fb5168e-02d6-4330-a761-9afd16336258</TermId>
        </TermInfo>
        <TermInfo xmlns="http://schemas.microsoft.com/office/infopath/2007/PartnerControls">
          <TermName xmlns="http://schemas.microsoft.com/office/infopath/2007/PartnerControls">8602-331</TermName>
          <TermId xmlns="http://schemas.microsoft.com/office/infopath/2007/PartnerControls">5c3dd464-6703-4535-ac7d-f4e4817cefdc</TermId>
        </TermInfo>
        <TermInfo xmlns="http://schemas.microsoft.com/office/infopath/2007/PartnerControls">
          <TermName xmlns="http://schemas.microsoft.com/office/infopath/2007/PartnerControls">8605-331</TermName>
          <TermId xmlns="http://schemas.microsoft.com/office/infopath/2007/PartnerControls">ce791105-3da6-40d0-9410-cb2b7f4f21fa</TermId>
        </TermInfo>
        <TermInfo xmlns="http://schemas.microsoft.com/office/infopath/2007/PartnerControls">
          <TermName xmlns="http://schemas.microsoft.com/office/infopath/2007/PartnerControls">8753-319</TermName>
          <TermId xmlns="http://schemas.microsoft.com/office/infopath/2007/PartnerControls">a8a74bc2-d955-4d84-8ac5-52ccb9b98626</TermId>
        </TermInfo>
        <TermInfo xmlns="http://schemas.microsoft.com/office/infopath/2007/PartnerControls">
          <TermName xmlns="http://schemas.microsoft.com/office/infopath/2007/PartnerControls">8606-331</TermName>
          <TermId xmlns="http://schemas.microsoft.com/office/infopath/2007/PartnerControls">85d9d3ad-0389-466f-aaa3-7709a28cd0c4</TermId>
        </TermInfo>
        <TermInfo xmlns="http://schemas.microsoft.com/office/infopath/2007/PartnerControls">
          <TermName xmlns="http://schemas.microsoft.com/office/infopath/2007/PartnerControls">8625-331</TermName>
          <TermId xmlns="http://schemas.microsoft.com/office/infopath/2007/PartnerControls">61babe61-dc6b-4ff0-8c37-15bb98d98153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0BC1D544-68B2-47E4-8404-202E4D1F4D89}"/>
</file>

<file path=customXml/itemProps2.xml><?xml version="1.0" encoding="utf-8"?>
<ds:datastoreItem xmlns:ds="http://schemas.openxmlformats.org/officeDocument/2006/customXml" ds:itemID="{3357E48D-C2D9-4502-9389-2D0305EECF42}"/>
</file>

<file path=customXml/itemProps3.xml><?xml version="1.0" encoding="utf-8"?>
<ds:datastoreItem xmlns:ds="http://schemas.openxmlformats.org/officeDocument/2006/customXml" ds:itemID="{1B9AA34B-8CC6-445F-834E-5C0A9C79A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Support Services Operations in an Organisation</dc:title>
  <dc:creator>shalinis</dc:creator>
  <cp:lastModifiedBy>Jurgita Baleviciute</cp:lastModifiedBy>
  <cp:revision>3</cp:revision>
  <dcterms:created xsi:type="dcterms:W3CDTF">2013-02-15T11:21:00Z</dcterms:created>
  <dcterms:modified xsi:type="dcterms:W3CDTF">2017-02-06T16:35:00Z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349;#8600-331|9fb5168e-02d6-4330-a761-9afd16336258;#423;#8602-331|5c3dd464-6703-4535-ac7d-f4e4817cefdc;#112;#8605-331|ce791105-3da6-40d0-9410-cb2b7f4f21fa;#606;#8753-319|a8a74bc2-d955-4d84-8ac5-52ccb9b98626;#1195;#8606-331|85d9d3ad-0389-466f-aaa3-7709a28cd0c4;#1196;#8625-331|61babe61-dc6b-4ff0-8c37-15bb98d98153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115;#8753-11|539ad35d-14fe-481c-bc34-a06362688058;#116;#8753-21|248277fa-74f5-4648-858e-b6fb956216a1;#592;#8753-22|f93a5d96-ff28-44cf-b315-2a6dc1df2c59;#117;#8753-31|a05ca939-6319-4f7e-a503-9e282ec79214;#593;#8753-32|d970f13a-952c-48d5-ba9f-693ec4e59d43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