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49F98" w14:textId="77777777" w:rsidR="008873B3" w:rsidRPr="00C02422" w:rsidRDefault="00370C70" w:rsidP="00C02422">
      <w:pPr>
        <w:spacing w:after="0" w:line="240" w:lineRule="auto"/>
        <w:rPr>
          <w:rFonts w:ascii="Arial" w:eastAsia="Calibri" w:hAnsi="Arial" w:cs="Arial"/>
          <w:b/>
          <w:w w:val="105"/>
          <w:sz w:val="20"/>
          <w:szCs w:val="20"/>
          <w:lang w:val="en-US"/>
        </w:rPr>
      </w:pPr>
      <w:bookmarkStart w:id="0" w:name="_GoBack"/>
      <w:bookmarkEnd w:id="0"/>
      <w:r w:rsidRPr="00C02422">
        <w:rPr>
          <w:rFonts w:ascii="Arial" w:eastAsia="Calibri" w:hAnsi="Arial" w:cs="Arial"/>
          <w:b/>
          <w:w w:val="105"/>
          <w:sz w:val="20"/>
          <w:szCs w:val="20"/>
          <w:lang w:val="en-US"/>
        </w:rPr>
        <w:t xml:space="preserve">CS 31 </w:t>
      </w:r>
      <w:r w:rsidR="00E936E7" w:rsidRPr="00C02422">
        <w:rPr>
          <w:rFonts w:ascii="Arial" w:eastAsia="Calibri" w:hAnsi="Arial" w:cs="Arial"/>
          <w:b/>
          <w:w w:val="105"/>
          <w:sz w:val="20"/>
          <w:szCs w:val="20"/>
          <w:lang w:val="en-US"/>
        </w:rPr>
        <w:t xml:space="preserve">Resolve customers’ </w:t>
      </w:r>
      <w:r w:rsidR="00B51EDB" w:rsidRPr="00C02422">
        <w:rPr>
          <w:rFonts w:ascii="Arial" w:eastAsia="Calibri" w:hAnsi="Arial" w:cs="Arial"/>
          <w:b/>
          <w:w w:val="105"/>
          <w:sz w:val="20"/>
          <w:szCs w:val="20"/>
          <w:lang w:val="en-US"/>
        </w:rPr>
        <w:t>complaints</w:t>
      </w:r>
    </w:p>
    <w:tbl>
      <w:tblPr>
        <w:tblStyle w:val="TableGrid1"/>
        <w:tblW w:w="0" w:type="auto"/>
        <w:tblLook w:val="04A0" w:firstRow="1" w:lastRow="0" w:firstColumn="1" w:lastColumn="0" w:noHBand="0" w:noVBand="1"/>
      </w:tblPr>
      <w:tblGrid>
        <w:gridCol w:w="2245"/>
        <w:gridCol w:w="3330"/>
        <w:gridCol w:w="7375"/>
      </w:tblGrid>
      <w:tr w:rsidR="001366CA" w:rsidRPr="00C02422" w14:paraId="4AAE4388" w14:textId="77777777" w:rsidTr="00E936E7">
        <w:tc>
          <w:tcPr>
            <w:tcW w:w="2245" w:type="dxa"/>
            <w:tcBorders>
              <w:bottom w:val="single" w:sz="4" w:space="0" w:color="auto"/>
            </w:tcBorders>
          </w:tcPr>
          <w:p w14:paraId="201B49FC" w14:textId="77777777" w:rsidR="00B362D1" w:rsidRPr="00C02422" w:rsidRDefault="00B362D1" w:rsidP="00C02422">
            <w:pPr>
              <w:rPr>
                <w:rFonts w:ascii="Arial" w:eastAsia="Calibri" w:hAnsi="Arial" w:cs="Arial"/>
                <w:b/>
                <w:sz w:val="20"/>
                <w:szCs w:val="20"/>
              </w:rPr>
            </w:pPr>
            <w:r w:rsidRPr="00C02422">
              <w:rPr>
                <w:rFonts w:ascii="Arial" w:eastAsia="Calibri" w:hAnsi="Arial" w:cs="Arial"/>
                <w:b/>
                <w:sz w:val="20"/>
                <w:szCs w:val="20"/>
              </w:rPr>
              <w:t>Learning Outcome</w:t>
            </w:r>
          </w:p>
        </w:tc>
        <w:tc>
          <w:tcPr>
            <w:tcW w:w="3330" w:type="dxa"/>
            <w:tcBorders>
              <w:bottom w:val="single" w:sz="4" w:space="0" w:color="auto"/>
            </w:tcBorders>
          </w:tcPr>
          <w:p w14:paraId="51F21220" w14:textId="77777777" w:rsidR="00B362D1" w:rsidRPr="00C02422" w:rsidRDefault="00B362D1" w:rsidP="00C02422">
            <w:pPr>
              <w:rPr>
                <w:rFonts w:ascii="Arial" w:eastAsia="Calibri" w:hAnsi="Arial" w:cs="Arial"/>
                <w:b/>
                <w:sz w:val="20"/>
                <w:szCs w:val="20"/>
              </w:rPr>
            </w:pPr>
            <w:r w:rsidRPr="00C02422">
              <w:rPr>
                <w:rFonts w:ascii="Arial" w:eastAsia="Calibri" w:hAnsi="Arial" w:cs="Arial"/>
                <w:b/>
                <w:sz w:val="20"/>
                <w:szCs w:val="20"/>
              </w:rPr>
              <w:t>Assessment Criteria</w:t>
            </w:r>
          </w:p>
        </w:tc>
        <w:tc>
          <w:tcPr>
            <w:tcW w:w="7375" w:type="dxa"/>
          </w:tcPr>
          <w:p w14:paraId="4EAE3DB3" w14:textId="77777777" w:rsidR="00B362D1" w:rsidRPr="00C02422" w:rsidRDefault="00B362D1" w:rsidP="00C02422">
            <w:pPr>
              <w:rPr>
                <w:rFonts w:ascii="Arial" w:eastAsia="Calibri" w:hAnsi="Arial" w:cs="Arial"/>
                <w:b/>
                <w:sz w:val="20"/>
                <w:szCs w:val="20"/>
              </w:rPr>
            </w:pPr>
            <w:r w:rsidRPr="00C02422">
              <w:rPr>
                <w:rFonts w:ascii="Arial" w:eastAsia="Calibri" w:hAnsi="Arial" w:cs="Arial"/>
                <w:b/>
                <w:sz w:val="20"/>
                <w:szCs w:val="20"/>
              </w:rPr>
              <w:t>Guidelines and range</w:t>
            </w:r>
          </w:p>
          <w:p w14:paraId="0D81E155" w14:textId="77777777" w:rsidR="00B362D1" w:rsidRPr="00C02422" w:rsidRDefault="00B362D1" w:rsidP="00C02422">
            <w:pPr>
              <w:rPr>
                <w:rFonts w:ascii="Arial" w:eastAsia="Calibri" w:hAnsi="Arial" w:cs="Arial"/>
                <w:b/>
                <w:sz w:val="20"/>
                <w:szCs w:val="20"/>
              </w:rPr>
            </w:pPr>
            <w:r w:rsidRPr="00C02422">
              <w:rPr>
                <w:rFonts w:ascii="Arial" w:eastAsia="Calibri" w:hAnsi="Arial" w:cs="Arial"/>
                <w:b/>
                <w:sz w:val="20"/>
                <w:szCs w:val="20"/>
              </w:rPr>
              <w:t>The candidate provides evidence that they understand:</w:t>
            </w:r>
          </w:p>
        </w:tc>
      </w:tr>
      <w:tr w:rsidR="00F96859" w:rsidRPr="00C02422" w14:paraId="01D48040" w14:textId="77777777" w:rsidTr="00E936E7">
        <w:trPr>
          <w:trHeight w:val="569"/>
        </w:trPr>
        <w:tc>
          <w:tcPr>
            <w:tcW w:w="2245" w:type="dxa"/>
            <w:vMerge w:val="restart"/>
          </w:tcPr>
          <w:p w14:paraId="1A61A774"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1. Understand the monitoring and resolution of customers’ complaints </w:t>
            </w:r>
          </w:p>
          <w:p w14:paraId="2F61C7F6" w14:textId="77777777" w:rsidR="00F96859" w:rsidRPr="00C02422" w:rsidRDefault="00F96859" w:rsidP="00C02422">
            <w:pPr>
              <w:pStyle w:val="Default"/>
              <w:rPr>
                <w:rFonts w:ascii="Arial" w:hAnsi="Arial" w:cs="Arial"/>
                <w:color w:val="auto"/>
                <w:sz w:val="20"/>
                <w:szCs w:val="20"/>
              </w:rPr>
            </w:pPr>
          </w:p>
          <w:p w14:paraId="5540F265" w14:textId="77777777" w:rsidR="00F96859" w:rsidRPr="00C02422" w:rsidRDefault="00F96859" w:rsidP="00C02422">
            <w:pPr>
              <w:pStyle w:val="Default"/>
              <w:rPr>
                <w:rFonts w:ascii="Arial" w:hAnsi="Arial" w:cs="Arial"/>
                <w:color w:val="auto"/>
                <w:sz w:val="20"/>
                <w:szCs w:val="20"/>
              </w:rPr>
            </w:pPr>
          </w:p>
        </w:tc>
        <w:tc>
          <w:tcPr>
            <w:tcW w:w="3330" w:type="dxa"/>
          </w:tcPr>
          <w:p w14:paraId="379FF837" w14:textId="77777777" w:rsidR="00F96859" w:rsidRPr="00C02422" w:rsidRDefault="00F96859" w:rsidP="00C02422">
            <w:pPr>
              <w:pStyle w:val="Default"/>
              <w:numPr>
                <w:ilvl w:val="1"/>
                <w:numId w:val="31"/>
              </w:numPr>
              <w:rPr>
                <w:rFonts w:ascii="Arial" w:hAnsi="Arial" w:cs="Arial"/>
                <w:color w:val="auto"/>
                <w:sz w:val="20"/>
                <w:szCs w:val="20"/>
              </w:rPr>
            </w:pPr>
            <w:r w:rsidRPr="00C02422">
              <w:rPr>
                <w:rFonts w:ascii="Arial" w:hAnsi="Arial" w:cs="Arial"/>
                <w:color w:val="auto"/>
                <w:sz w:val="20"/>
                <w:szCs w:val="20"/>
              </w:rPr>
              <w:t>Assess the suitability of a</w:t>
            </w:r>
          </w:p>
          <w:p w14:paraId="0F02228F"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range of monitoring techniques for customers’ complaints </w:t>
            </w:r>
          </w:p>
          <w:p w14:paraId="5FF493DA" w14:textId="77777777" w:rsidR="00F96859" w:rsidRPr="00C02422" w:rsidRDefault="00F96859" w:rsidP="00C02422">
            <w:pPr>
              <w:pStyle w:val="Default"/>
              <w:rPr>
                <w:rFonts w:ascii="Arial" w:hAnsi="Arial" w:cs="Arial"/>
                <w:color w:val="auto"/>
                <w:sz w:val="20"/>
                <w:szCs w:val="20"/>
              </w:rPr>
            </w:pPr>
          </w:p>
        </w:tc>
        <w:tc>
          <w:tcPr>
            <w:tcW w:w="7375" w:type="dxa"/>
          </w:tcPr>
          <w:p w14:paraId="44D8EC1C" w14:textId="77777777" w:rsidR="00370C70" w:rsidRPr="00C02422" w:rsidRDefault="00370C70" w:rsidP="00C02422">
            <w:p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Monitoring techniques</w:t>
            </w:r>
          </w:p>
          <w:p w14:paraId="50E6C6D0" w14:textId="77777777" w:rsidR="00370C70" w:rsidRPr="00C02422" w:rsidRDefault="00C02422" w:rsidP="00C02422">
            <w:pPr>
              <w:numPr>
                <w:ilvl w:val="0"/>
                <w:numId w:val="34"/>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Customer</w:t>
            </w:r>
            <w:r w:rsidR="00370C70" w:rsidRPr="00C02422">
              <w:rPr>
                <w:rFonts w:ascii="Arial" w:eastAsia="Times New Roman" w:hAnsi="Arial" w:cs="Arial"/>
                <w:sz w:val="20"/>
                <w:szCs w:val="20"/>
                <w:lang w:eastAsia="en-GB"/>
              </w:rPr>
              <w:t xml:space="preserve"> feedback</w:t>
            </w:r>
          </w:p>
          <w:p w14:paraId="4065EED5" w14:textId="77777777" w:rsidR="00370C70" w:rsidRPr="00C02422" w:rsidRDefault="00C02422" w:rsidP="00C02422">
            <w:pPr>
              <w:numPr>
                <w:ilvl w:val="0"/>
                <w:numId w:val="34"/>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Customer</w:t>
            </w:r>
            <w:r w:rsidR="00370C70" w:rsidRPr="00C02422">
              <w:rPr>
                <w:rFonts w:ascii="Arial" w:eastAsia="Times New Roman" w:hAnsi="Arial" w:cs="Arial"/>
                <w:sz w:val="20"/>
                <w:szCs w:val="20"/>
                <w:lang w:eastAsia="en-GB"/>
              </w:rPr>
              <w:t xml:space="preserve"> records</w:t>
            </w:r>
          </w:p>
          <w:p w14:paraId="21882FFB" w14:textId="77777777" w:rsidR="00370C70" w:rsidRPr="00C02422" w:rsidRDefault="00C02422" w:rsidP="00C02422">
            <w:pPr>
              <w:numPr>
                <w:ilvl w:val="0"/>
                <w:numId w:val="34"/>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Sales</w:t>
            </w:r>
            <w:r w:rsidR="00370C70" w:rsidRPr="00C02422">
              <w:rPr>
                <w:rFonts w:ascii="Arial" w:eastAsia="Times New Roman" w:hAnsi="Arial" w:cs="Arial"/>
                <w:sz w:val="20"/>
                <w:szCs w:val="20"/>
                <w:lang w:eastAsia="en-GB"/>
              </w:rPr>
              <w:t xml:space="preserve"> </w:t>
            </w:r>
          </w:p>
          <w:p w14:paraId="00A5786B" w14:textId="77777777" w:rsidR="00370C70" w:rsidRPr="00C02422" w:rsidRDefault="00C02422" w:rsidP="00C02422">
            <w:pPr>
              <w:numPr>
                <w:ilvl w:val="0"/>
                <w:numId w:val="34"/>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Returns</w:t>
            </w:r>
            <w:r w:rsidR="00370C70" w:rsidRPr="00C02422">
              <w:rPr>
                <w:rFonts w:ascii="Arial" w:eastAsia="Times New Roman" w:hAnsi="Arial" w:cs="Arial"/>
                <w:sz w:val="20"/>
                <w:szCs w:val="20"/>
                <w:lang w:eastAsia="en-GB"/>
              </w:rPr>
              <w:t xml:space="preserve"> </w:t>
            </w:r>
          </w:p>
          <w:p w14:paraId="6709583E" w14:textId="77777777" w:rsidR="00370C70" w:rsidRPr="00C02422" w:rsidRDefault="00370C70" w:rsidP="00C02422">
            <w:pPr>
              <w:tabs>
                <w:tab w:val="left" w:pos="1245"/>
              </w:tabs>
              <w:rPr>
                <w:rFonts w:ascii="Arial" w:eastAsia="Times New Roman" w:hAnsi="Arial" w:cs="Arial"/>
                <w:sz w:val="20"/>
                <w:szCs w:val="20"/>
              </w:rPr>
            </w:pPr>
          </w:p>
          <w:p w14:paraId="6C8B2547" w14:textId="77777777" w:rsidR="00370C70" w:rsidRPr="00C02422" w:rsidRDefault="00370C70" w:rsidP="00C02422">
            <w:pPr>
              <w:autoSpaceDE w:val="0"/>
              <w:autoSpaceDN w:val="0"/>
              <w:adjustRightInd w:val="0"/>
              <w:rPr>
                <w:rFonts w:ascii="Arial" w:eastAsia="Times New Roman" w:hAnsi="Arial" w:cs="Arial"/>
                <w:sz w:val="20"/>
                <w:szCs w:val="20"/>
                <w:lang w:eastAsia="en-GB"/>
              </w:rPr>
            </w:pPr>
          </w:p>
          <w:p w14:paraId="31220988" w14:textId="77777777" w:rsidR="00F96859" w:rsidRPr="00C02422" w:rsidRDefault="00F96859" w:rsidP="00C02422">
            <w:pPr>
              <w:pStyle w:val="ListParagraph"/>
              <w:rPr>
                <w:rFonts w:ascii="Arial" w:eastAsia="Calibri" w:hAnsi="Arial" w:cs="Arial"/>
                <w:sz w:val="20"/>
                <w:szCs w:val="20"/>
              </w:rPr>
            </w:pPr>
          </w:p>
        </w:tc>
      </w:tr>
      <w:tr w:rsidR="00F96859" w:rsidRPr="00C02422" w14:paraId="3DE7AD64" w14:textId="77777777" w:rsidTr="00E936E7">
        <w:trPr>
          <w:trHeight w:val="569"/>
        </w:trPr>
        <w:tc>
          <w:tcPr>
            <w:tcW w:w="2245" w:type="dxa"/>
            <w:vMerge/>
          </w:tcPr>
          <w:p w14:paraId="5048C28F" w14:textId="77777777" w:rsidR="00F96859" w:rsidRPr="00C02422" w:rsidRDefault="00F96859" w:rsidP="00C02422">
            <w:pPr>
              <w:pStyle w:val="Default"/>
              <w:rPr>
                <w:rFonts w:ascii="Arial" w:hAnsi="Arial" w:cs="Arial"/>
                <w:color w:val="auto"/>
                <w:sz w:val="20"/>
                <w:szCs w:val="20"/>
              </w:rPr>
            </w:pPr>
          </w:p>
        </w:tc>
        <w:tc>
          <w:tcPr>
            <w:tcW w:w="3330" w:type="dxa"/>
          </w:tcPr>
          <w:p w14:paraId="125CC158" w14:textId="77777777" w:rsidR="00F96859" w:rsidRPr="00C02422" w:rsidRDefault="00F96859" w:rsidP="00C02422">
            <w:pPr>
              <w:pStyle w:val="Default"/>
              <w:numPr>
                <w:ilvl w:val="1"/>
                <w:numId w:val="31"/>
              </w:numPr>
              <w:rPr>
                <w:rFonts w:ascii="Arial" w:hAnsi="Arial" w:cs="Arial"/>
                <w:color w:val="auto"/>
                <w:sz w:val="20"/>
                <w:szCs w:val="20"/>
              </w:rPr>
            </w:pPr>
            <w:r w:rsidRPr="00C02422">
              <w:rPr>
                <w:rFonts w:ascii="Arial" w:hAnsi="Arial" w:cs="Arial"/>
                <w:color w:val="auto"/>
                <w:sz w:val="20"/>
                <w:szCs w:val="20"/>
              </w:rPr>
              <w:t>Explain how to identify those</w:t>
            </w:r>
          </w:p>
          <w:p w14:paraId="0B720BD6"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complaints that should prompt a review of the service offer and service delivery </w:t>
            </w:r>
          </w:p>
          <w:p w14:paraId="313CD36E" w14:textId="77777777" w:rsidR="00F96859" w:rsidRPr="00C02422" w:rsidRDefault="00F96859" w:rsidP="00C02422">
            <w:pPr>
              <w:pStyle w:val="Default"/>
              <w:rPr>
                <w:rFonts w:ascii="Arial" w:hAnsi="Arial" w:cs="Arial"/>
                <w:color w:val="auto"/>
                <w:sz w:val="20"/>
                <w:szCs w:val="20"/>
              </w:rPr>
            </w:pPr>
          </w:p>
        </w:tc>
        <w:tc>
          <w:tcPr>
            <w:tcW w:w="7375" w:type="dxa"/>
          </w:tcPr>
          <w:p w14:paraId="0587EFC4" w14:textId="77777777" w:rsidR="00370C70" w:rsidRPr="00C02422" w:rsidRDefault="00370C70" w:rsidP="00C02422">
            <w:pPr>
              <w:tabs>
                <w:tab w:val="left" w:pos="1245"/>
              </w:tabs>
              <w:rPr>
                <w:rFonts w:ascii="Arial" w:eastAsia="Times New Roman" w:hAnsi="Arial" w:cs="Arial"/>
                <w:sz w:val="20"/>
                <w:szCs w:val="20"/>
              </w:rPr>
            </w:pPr>
            <w:r w:rsidRPr="00C02422">
              <w:rPr>
                <w:rFonts w:ascii="Arial" w:eastAsia="Times New Roman" w:hAnsi="Arial" w:cs="Arial"/>
                <w:sz w:val="20"/>
                <w:szCs w:val="20"/>
              </w:rPr>
              <w:t>Service offer</w:t>
            </w:r>
          </w:p>
          <w:p w14:paraId="4B05ECA6" w14:textId="77777777" w:rsidR="00370C70" w:rsidRPr="00C02422" w:rsidRDefault="00370C70" w:rsidP="00C02422">
            <w:pPr>
              <w:tabs>
                <w:tab w:val="left" w:pos="1245"/>
              </w:tabs>
              <w:rPr>
                <w:rFonts w:ascii="Arial" w:eastAsia="Times New Roman" w:hAnsi="Arial" w:cs="Arial"/>
                <w:sz w:val="20"/>
                <w:szCs w:val="20"/>
              </w:rPr>
            </w:pPr>
            <w:r w:rsidRPr="00C02422">
              <w:rPr>
                <w:rFonts w:ascii="Arial" w:eastAsia="Times New Roman" w:hAnsi="Arial" w:cs="Arial"/>
                <w:sz w:val="20"/>
                <w:szCs w:val="20"/>
              </w:rPr>
              <w:t>This details what an organisation will do for a customer, what level of customer service will be on offer and the limit of what will be offered. It also ensures consistency in the service offered.</w:t>
            </w:r>
          </w:p>
          <w:p w14:paraId="3D5469DB" w14:textId="77777777" w:rsidR="00370C70" w:rsidRPr="00C02422" w:rsidRDefault="00370C70" w:rsidP="00C02422">
            <w:pPr>
              <w:tabs>
                <w:tab w:val="left" w:pos="1245"/>
              </w:tabs>
              <w:rPr>
                <w:rFonts w:ascii="Arial" w:eastAsia="Times New Roman" w:hAnsi="Arial" w:cs="Arial"/>
                <w:sz w:val="20"/>
                <w:szCs w:val="20"/>
              </w:rPr>
            </w:pPr>
          </w:p>
          <w:p w14:paraId="6A6DD052" w14:textId="77777777" w:rsidR="00370C70" w:rsidRPr="00C02422" w:rsidRDefault="00370C70" w:rsidP="00C02422">
            <w:p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Service delivery</w:t>
            </w:r>
          </w:p>
          <w:p w14:paraId="11DDCADC" w14:textId="1874AF54" w:rsidR="00370C70" w:rsidRPr="00C02422" w:rsidRDefault="00370C70" w:rsidP="00C02422">
            <w:p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 xml:space="preserve">This is about getting the goods or services to the customer in the optimum or agreed timescale </w:t>
            </w:r>
            <w:r w:rsidR="00BA3A25" w:rsidRPr="00C02422">
              <w:rPr>
                <w:rFonts w:ascii="Arial" w:eastAsia="Times New Roman" w:hAnsi="Arial" w:cs="Arial"/>
                <w:sz w:val="20"/>
                <w:szCs w:val="20"/>
                <w:lang w:eastAsia="en-GB"/>
              </w:rPr>
              <w:t>e.g.</w:t>
            </w:r>
            <w:r w:rsidRPr="00C02422">
              <w:rPr>
                <w:rFonts w:ascii="Arial" w:eastAsia="Times New Roman" w:hAnsi="Arial" w:cs="Arial"/>
                <w:sz w:val="20"/>
                <w:szCs w:val="20"/>
                <w:lang w:eastAsia="en-GB"/>
              </w:rPr>
              <w:t xml:space="preserve"> from the number of people who can be waiting in a queue at the till before assistance must be requested to the length of time callers should be waiting before answered or keeping to an agreed product delivery time.</w:t>
            </w:r>
          </w:p>
          <w:p w14:paraId="04BC1113" w14:textId="77777777" w:rsidR="00F96859" w:rsidRPr="00C02422" w:rsidRDefault="00F96859" w:rsidP="00C02422">
            <w:pPr>
              <w:pStyle w:val="ListParagraph"/>
              <w:rPr>
                <w:rFonts w:ascii="Arial" w:eastAsia="Calibri" w:hAnsi="Arial" w:cs="Arial"/>
                <w:sz w:val="20"/>
                <w:szCs w:val="20"/>
              </w:rPr>
            </w:pPr>
          </w:p>
        </w:tc>
      </w:tr>
      <w:tr w:rsidR="00F96859" w:rsidRPr="00C02422" w14:paraId="78EA6716" w14:textId="77777777" w:rsidTr="00E936E7">
        <w:trPr>
          <w:trHeight w:val="569"/>
        </w:trPr>
        <w:tc>
          <w:tcPr>
            <w:tcW w:w="2245" w:type="dxa"/>
            <w:vMerge/>
          </w:tcPr>
          <w:p w14:paraId="7BF3A499" w14:textId="77777777" w:rsidR="00F96859" w:rsidRPr="00C02422" w:rsidRDefault="00F96859" w:rsidP="00C02422">
            <w:pPr>
              <w:pStyle w:val="Default"/>
              <w:rPr>
                <w:rFonts w:ascii="Arial" w:hAnsi="Arial" w:cs="Arial"/>
                <w:color w:val="auto"/>
                <w:sz w:val="20"/>
                <w:szCs w:val="20"/>
              </w:rPr>
            </w:pPr>
          </w:p>
        </w:tc>
        <w:tc>
          <w:tcPr>
            <w:tcW w:w="3330" w:type="dxa"/>
          </w:tcPr>
          <w:p w14:paraId="4CFE8887" w14:textId="77777777" w:rsidR="00F96859" w:rsidRPr="00C02422" w:rsidRDefault="00F96859" w:rsidP="00C02422">
            <w:pPr>
              <w:pStyle w:val="Default"/>
              <w:numPr>
                <w:ilvl w:val="1"/>
                <w:numId w:val="31"/>
              </w:numPr>
              <w:rPr>
                <w:rFonts w:ascii="Arial" w:hAnsi="Arial" w:cs="Arial"/>
                <w:color w:val="auto"/>
                <w:sz w:val="20"/>
                <w:szCs w:val="20"/>
              </w:rPr>
            </w:pPr>
            <w:r w:rsidRPr="00C02422">
              <w:rPr>
                <w:rFonts w:ascii="Arial" w:hAnsi="Arial" w:cs="Arial"/>
                <w:color w:val="auto"/>
                <w:sz w:val="20"/>
                <w:szCs w:val="20"/>
              </w:rPr>
              <w:t xml:space="preserve">Explain negotiating techniques </w:t>
            </w:r>
          </w:p>
          <w:p w14:paraId="5BC88220"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used to resolve customers’ complaints </w:t>
            </w:r>
          </w:p>
          <w:p w14:paraId="3634F2B9" w14:textId="77777777" w:rsidR="00F96859" w:rsidRPr="00C02422" w:rsidRDefault="00F96859" w:rsidP="00C02422">
            <w:pPr>
              <w:pStyle w:val="Default"/>
              <w:rPr>
                <w:rFonts w:ascii="Arial" w:hAnsi="Arial" w:cs="Arial"/>
                <w:color w:val="auto"/>
                <w:sz w:val="20"/>
                <w:szCs w:val="20"/>
              </w:rPr>
            </w:pPr>
          </w:p>
        </w:tc>
        <w:tc>
          <w:tcPr>
            <w:tcW w:w="7375" w:type="dxa"/>
          </w:tcPr>
          <w:p w14:paraId="285068AB" w14:textId="77777777" w:rsidR="00370C70" w:rsidRPr="00C02422" w:rsidRDefault="00370C70" w:rsidP="00C02422">
            <w:p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Negotiating techniques</w:t>
            </w:r>
          </w:p>
          <w:p w14:paraId="2FCC2A36" w14:textId="77777777" w:rsidR="00370C70" w:rsidRPr="00C02422" w:rsidRDefault="00C02422" w:rsidP="00C02422">
            <w:pPr>
              <w:numPr>
                <w:ilvl w:val="0"/>
                <w:numId w:val="33"/>
              </w:numPr>
              <w:contextualSpacing/>
              <w:rPr>
                <w:rFonts w:ascii="Arial" w:eastAsia="Times New Roman" w:hAnsi="Arial" w:cs="Arial"/>
                <w:sz w:val="20"/>
                <w:szCs w:val="20"/>
              </w:rPr>
            </w:pPr>
            <w:r w:rsidRPr="00C02422">
              <w:rPr>
                <w:rFonts w:ascii="Arial" w:eastAsia="Times New Roman" w:hAnsi="Arial" w:cs="Arial"/>
                <w:sz w:val="20"/>
                <w:szCs w:val="20"/>
              </w:rPr>
              <w:t>Know</w:t>
            </w:r>
            <w:r w:rsidR="00370C70" w:rsidRPr="00C02422">
              <w:rPr>
                <w:rFonts w:ascii="Arial" w:eastAsia="Times New Roman" w:hAnsi="Arial" w:cs="Arial"/>
                <w:sz w:val="20"/>
                <w:szCs w:val="20"/>
              </w:rPr>
              <w:t xml:space="preserve"> what has to be achieved</w:t>
            </w:r>
          </w:p>
          <w:p w14:paraId="467C1509" w14:textId="77777777" w:rsidR="00370C70" w:rsidRPr="00C02422" w:rsidRDefault="00C02422" w:rsidP="00C02422">
            <w:pPr>
              <w:numPr>
                <w:ilvl w:val="0"/>
                <w:numId w:val="33"/>
              </w:numPr>
              <w:contextualSpacing/>
              <w:rPr>
                <w:rFonts w:ascii="Arial" w:eastAsia="Times New Roman" w:hAnsi="Arial" w:cs="Arial"/>
                <w:sz w:val="20"/>
                <w:szCs w:val="20"/>
              </w:rPr>
            </w:pPr>
            <w:r w:rsidRPr="00C02422">
              <w:rPr>
                <w:rFonts w:ascii="Arial" w:eastAsia="Times New Roman" w:hAnsi="Arial" w:cs="Arial"/>
                <w:sz w:val="20"/>
                <w:szCs w:val="20"/>
              </w:rPr>
              <w:t>Prepare</w:t>
            </w:r>
            <w:r w:rsidR="00370C70" w:rsidRPr="00C02422">
              <w:rPr>
                <w:rFonts w:ascii="Arial" w:eastAsia="Times New Roman" w:hAnsi="Arial" w:cs="Arial"/>
                <w:sz w:val="20"/>
                <w:szCs w:val="20"/>
              </w:rPr>
              <w:t xml:space="preserve"> for any discussion </w:t>
            </w:r>
          </w:p>
          <w:p w14:paraId="213FD5AF" w14:textId="77777777" w:rsidR="00370C70" w:rsidRPr="00C02422" w:rsidRDefault="00C02422" w:rsidP="00C02422">
            <w:pPr>
              <w:numPr>
                <w:ilvl w:val="0"/>
                <w:numId w:val="33"/>
              </w:numPr>
              <w:contextualSpacing/>
              <w:rPr>
                <w:rFonts w:ascii="Arial" w:eastAsia="Times New Roman" w:hAnsi="Arial" w:cs="Arial"/>
                <w:sz w:val="20"/>
                <w:szCs w:val="20"/>
              </w:rPr>
            </w:pPr>
            <w:r w:rsidRPr="00C02422">
              <w:rPr>
                <w:rFonts w:ascii="Arial" w:eastAsia="Times New Roman" w:hAnsi="Arial" w:cs="Arial"/>
                <w:sz w:val="20"/>
                <w:szCs w:val="20"/>
              </w:rPr>
              <w:t>Be</w:t>
            </w:r>
            <w:r w:rsidR="00370C70" w:rsidRPr="00C02422">
              <w:rPr>
                <w:rFonts w:ascii="Arial" w:eastAsia="Times New Roman" w:hAnsi="Arial" w:cs="Arial"/>
                <w:sz w:val="20"/>
                <w:szCs w:val="20"/>
              </w:rPr>
              <w:t xml:space="preserve"> confident</w:t>
            </w:r>
          </w:p>
          <w:p w14:paraId="28F56521" w14:textId="77777777" w:rsidR="00370C70" w:rsidRPr="00C02422" w:rsidRDefault="00C02422" w:rsidP="00C02422">
            <w:pPr>
              <w:numPr>
                <w:ilvl w:val="0"/>
                <w:numId w:val="33"/>
              </w:numPr>
              <w:contextualSpacing/>
              <w:rPr>
                <w:rFonts w:ascii="Arial" w:eastAsia="Times New Roman" w:hAnsi="Arial" w:cs="Arial"/>
                <w:sz w:val="20"/>
                <w:szCs w:val="20"/>
              </w:rPr>
            </w:pPr>
            <w:r w:rsidRPr="00C02422">
              <w:rPr>
                <w:rFonts w:ascii="Arial" w:eastAsia="Times New Roman" w:hAnsi="Arial" w:cs="Arial"/>
                <w:sz w:val="20"/>
                <w:szCs w:val="20"/>
              </w:rPr>
              <w:t>Share</w:t>
            </w:r>
            <w:r w:rsidR="00370C70" w:rsidRPr="00C02422">
              <w:rPr>
                <w:rFonts w:ascii="Arial" w:eastAsia="Times New Roman" w:hAnsi="Arial" w:cs="Arial"/>
                <w:sz w:val="20"/>
                <w:szCs w:val="20"/>
              </w:rPr>
              <w:t xml:space="preserve"> information </w:t>
            </w:r>
          </w:p>
          <w:p w14:paraId="6935728F" w14:textId="77777777" w:rsidR="00370C70" w:rsidRPr="00C02422" w:rsidRDefault="00C02422" w:rsidP="00C02422">
            <w:pPr>
              <w:numPr>
                <w:ilvl w:val="0"/>
                <w:numId w:val="33"/>
              </w:numPr>
              <w:contextualSpacing/>
              <w:rPr>
                <w:rFonts w:ascii="Arial" w:eastAsia="Times New Roman" w:hAnsi="Arial" w:cs="Arial"/>
                <w:sz w:val="20"/>
                <w:szCs w:val="20"/>
              </w:rPr>
            </w:pPr>
            <w:r w:rsidRPr="00C02422">
              <w:rPr>
                <w:rFonts w:ascii="Arial" w:eastAsia="Times New Roman" w:hAnsi="Arial" w:cs="Arial"/>
                <w:sz w:val="20"/>
                <w:szCs w:val="20"/>
              </w:rPr>
              <w:t>Listen</w:t>
            </w:r>
          </w:p>
          <w:p w14:paraId="4278D468" w14:textId="77777777" w:rsidR="00370C70" w:rsidRPr="00C02422" w:rsidRDefault="00C02422" w:rsidP="00C02422">
            <w:pPr>
              <w:numPr>
                <w:ilvl w:val="0"/>
                <w:numId w:val="33"/>
              </w:numPr>
              <w:contextualSpacing/>
              <w:rPr>
                <w:rFonts w:ascii="Arial" w:eastAsia="Times New Roman" w:hAnsi="Arial" w:cs="Arial"/>
                <w:sz w:val="20"/>
                <w:szCs w:val="20"/>
              </w:rPr>
            </w:pPr>
            <w:r w:rsidRPr="00C02422">
              <w:rPr>
                <w:rFonts w:ascii="Arial" w:eastAsia="Times New Roman" w:hAnsi="Arial" w:cs="Arial"/>
                <w:sz w:val="20"/>
                <w:szCs w:val="20"/>
              </w:rPr>
              <w:t>Be</w:t>
            </w:r>
            <w:r w:rsidR="00370C70" w:rsidRPr="00C02422">
              <w:rPr>
                <w:rFonts w:ascii="Arial" w:eastAsia="Times New Roman" w:hAnsi="Arial" w:cs="Arial"/>
                <w:sz w:val="20"/>
                <w:szCs w:val="20"/>
              </w:rPr>
              <w:t xml:space="preserve"> ready for compromise</w:t>
            </w:r>
          </w:p>
          <w:p w14:paraId="3079684F" w14:textId="2141C8D5" w:rsidR="00370C70" w:rsidRPr="00C02422" w:rsidRDefault="00C02422" w:rsidP="00C02422">
            <w:pPr>
              <w:numPr>
                <w:ilvl w:val="0"/>
                <w:numId w:val="33"/>
              </w:numPr>
              <w:contextualSpacing/>
              <w:rPr>
                <w:rFonts w:ascii="Arial" w:eastAsia="Times New Roman" w:hAnsi="Arial" w:cs="Arial"/>
                <w:sz w:val="20"/>
                <w:szCs w:val="20"/>
              </w:rPr>
            </w:pPr>
            <w:r w:rsidRPr="00C02422">
              <w:rPr>
                <w:rFonts w:ascii="Arial" w:eastAsia="Times New Roman" w:hAnsi="Arial" w:cs="Arial"/>
                <w:sz w:val="20"/>
                <w:szCs w:val="20"/>
              </w:rPr>
              <w:t>Close</w:t>
            </w:r>
            <w:r w:rsidR="00370C70" w:rsidRPr="00C02422">
              <w:rPr>
                <w:rFonts w:ascii="Arial" w:eastAsia="Times New Roman" w:hAnsi="Arial" w:cs="Arial"/>
                <w:sz w:val="20"/>
                <w:szCs w:val="20"/>
              </w:rPr>
              <w:t xml:space="preserve"> </w:t>
            </w:r>
            <w:r w:rsidR="00BA3A25" w:rsidRPr="00C02422">
              <w:rPr>
                <w:rFonts w:ascii="Arial" w:eastAsia="Times New Roman" w:hAnsi="Arial" w:cs="Arial"/>
                <w:sz w:val="20"/>
                <w:szCs w:val="20"/>
              </w:rPr>
              <w:t>with confirmation</w:t>
            </w:r>
          </w:p>
          <w:p w14:paraId="3CA35FF6" w14:textId="77777777" w:rsidR="00370C70" w:rsidRPr="00C02422" w:rsidRDefault="00370C70" w:rsidP="00C02422">
            <w:pPr>
              <w:rPr>
                <w:rFonts w:ascii="Arial" w:eastAsia="Times New Roman" w:hAnsi="Arial" w:cs="Arial"/>
                <w:sz w:val="20"/>
                <w:szCs w:val="20"/>
              </w:rPr>
            </w:pPr>
          </w:p>
          <w:p w14:paraId="62A54239" w14:textId="77777777" w:rsidR="00F96859" w:rsidRPr="00C02422" w:rsidRDefault="00F96859" w:rsidP="00C02422">
            <w:pPr>
              <w:pStyle w:val="ListParagraph"/>
              <w:rPr>
                <w:rFonts w:ascii="Arial" w:eastAsia="Calibri" w:hAnsi="Arial" w:cs="Arial"/>
                <w:sz w:val="20"/>
                <w:szCs w:val="20"/>
              </w:rPr>
            </w:pPr>
          </w:p>
        </w:tc>
      </w:tr>
      <w:tr w:rsidR="00F96859" w:rsidRPr="00C02422" w14:paraId="32DBED18" w14:textId="77777777" w:rsidTr="00E936E7">
        <w:trPr>
          <w:trHeight w:val="569"/>
        </w:trPr>
        <w:tc>
          <w:tcPr>
            <w:tcW w:w="2245" w:type="dxa"/>
            <w:vMerge/>
          </w:tcPr>
          <w:p w14:paraId="5381A3CA" w14:textId="77777777" w:rsidR="00F96859" w:rsidRPr="00C02422" w:rsidRDefault="00F96859" w:rsidP="00C02422">
            <w:pPr>
              <w:pStyle w:val="Default"/>
              <w:rPr>
                <w:rFonts w:ascii="Arial" w:hAnsi="Arial" w:cs="Arial"/>
                <w:color w:val="auto"/>
                <w:sz w:val="20"/>
                <w:szCs w:val="20"/>
              </w:rPr>
            </w:pPr>
          </w:p>
        </w:tc>
        <w:tc>
          <w:tcPr>
            <w:tcW w:w="3330" w:type="dxa"/>
          </w:tcPr>
          <w:p w14:paraId="2F754C55" w14:textId="77777777" w:rsidR="00F96859" w:rsidRPr="00C02422" w:rsidRDefault="00F96859" w:rsidP="00C02422">
            <w:pPr>
              <w:pStyle w:val="Default"/>
              <w:numPr>
                <w:ilvl w:val="1"/>
                <w:numId w:val="31"/>
              </w:numPr>
              <w:rPr>
                <w:rFonts w:ascii="Arial" w:hAnsi="Arial" w:cs="Arial"/>
                <w:color w:val="auto"/>
                <w:sz w:val="20"/>
                <w:szCs w:val="20"/>
              </w:rPr>
            </w:pPr>
            <w:r w:rsidRPr="00C02422">
              <w:rPr>
                <w:rFonts w:ascii="Arial" w:hAnsi="Arial" w:cs="Arial"/>
                <w:color w:val="auto"/>
                <w:sz w:val="20"/>
                <w:szCs w:val="20"/>
              </w:rPr>
              <w:t xml:space="preserve">Explain conflict management </w:t>
            </w:r>
          </w:p>
          <w:p w14:paraId="41FE2B73"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techniques used in dealing with upset customers </w:t>
            </w:r>
          </w:p>
          <w:p w14:paraId="4ED5BB0F" w14:textId="77777777" w:rsidR="00F96859" w:rsidRPr="00C02422" w:rsidRDefault="00F96859" w:rsidP="00C02422">
            <w:pPr>
              <w:pStyle w:val="Default"/>
              <w:rPr>
                <w:rFonts w:ascii="Arial" w:hAnsi="Arial" w:cs="Arial"/>
                <w:color w:val="auto"/>
                <w:sz w:val="20"/>
                <w:szCs w:val="20"/>
              </w:rPr>
            </w:pPr>
          </w:p>
        </w:tc>
        <w:tc>
          <w:tcPr>
            <w:tcW w:w="7375" w:type="dxa"/>
          </w:tcPr>
          <w:p w14:paraId="787617F2" w14:textId="77777777" w:rsidR="00370C70" w:rsidRPr="00C02422" w:rsidRDefault="00370C70" w:rsidP="00C02422">
            <w:pPr>
              <w:rPr>
                <w:rFonts w:ascii="Arial" w:eastAsia="Times New Roman" w:hAnsi="Arial" w:cs="Arial"/>
                <w:sz w:val="20"/>
                <w:szCs w:val="20"/>
              </w:rPr>
            </w:pPr>
            <w:r w:rsidRPr="00C02422">
              <w:rPr>
                <w:rFonts w:ascii="Arial" w:eastAsia="Times New Roman" w:hAnsi="Arial" w:cs="Arial"/>
                <w:sz w:val="20"/>
                <w:szCs w:val="20"/>
              </w:rPr>
              <w:t>Conflict management techniques</w:t>
            </w:r>
          </w:p>
          <w:p w14:paraId="65819586" w14:textId="77777777" w:rsidR="00370C70" w:rsidRPr="00C02422" w:rsidRDefault="00C02422" w:rsidP="00C02422">
            <w:pPr>
              <w:numPr>
                <w:ilvl w:val="0"/>
                <w:numId w:val="35"/>
              </w:numPr>
              <w:contextualSpacing/>
              <w:rPr>
                <w:rFonts w:ascii="Arial" w:eastAsia="Times New Roman" w:hAnsi="Arial" w:cs="Arial"/>
                <w:sz w:val="20"/>
                <w:szCs w:val="20"/>
              </w:rPr>
            </w:pPr>
            <w:r w:rsidRPr="00C02422">
              <w:rPr>
                <w:rFonts w:ascii="Arial" w:eastAsia="Times New Roman" w:hAnsi="Arial" w:cs="Arial"/>
                <w:sz w:val="20"/>
                <w:szCs w:val="20"/>
              </w:rPr>
              <w:t>Listen</w:t>
            </w:r>
          </w:p>
          <w:p w14:paraId="37522433" w14:textId="77777777" w:rsidR="00370C70" w:rsidRPr="00C02422" w:rsidRDefault="00C02422" w:rsidP="00C02422">
            <w:pPr>
              <w:numPr>
                <w:ilvl w:val="0"/>
                <w:numId w:val="35"/>
              </w:numPr>
              <w:ind w:left="714" w:hanging="357"/>
              <w:contextualSpacing/>
              <w:rPr>
                <w:rFonts w:ascii="Arial" w:eastAsia="Times New Roman" w:hAnsi="Arial" w:cs="Arial"/>
                <w:sz w:val="20"/>
                <w:szCs w:val="20"/>
              </w:rPr>
            </w:pPr>
            <w:r w:rsidRPr="00C02422">
              <w:rPr>
                <w:rFonts w:ascii="Arial" w:eastAsia="Times New Roman" w:hAnsi="Arial" w:cs="Arial"/>
                <w:sz w:val="20"/>
                <w:szCs w:val="20"/>
              </w:rPr>
              <w:t>Be</w:t>
            </w:r>
            <w:r w:rsidR="00370C70" w:rsidRPr="00C02422">
              <w:rPr>
                <w:rFonts w:ascii="Arial" w:eastAsia="Times New Roman" w:hAnsi="Arial" w:cs="Arial"/>
                <w:sz w:val="20"/>
                <w:szCs w:val="20"/>
              </w:rPr>
              <w:t xml:space="preserve"> assertive – not aggressive</w:t>
            </w:r>
          </w:p>
          <w:p w14:paraId="65438F4B" w14:textId="77777777" w:rsidR="00370C70" w:rsidRPr="00C02422" w:rsidRDefault="00C02422" w:rsidP="00C02422">
            <w:pPr>
              <w:numPr>
                <w:ilvl w:val="0"/>
                <w:numId w:val="35"/>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Remain</w:t>
            </w:r>
            <w:r w:rsidR="00370C70" w:rsidRPr="00C02422">
              <w:rPr>
                <w:rFonts w:ascii="Arial" w:eastAsia="Times New Roman" w:hAnsi="Arial" w:cs="Arial"/>
                <w:sz w:val="20"/>
                <w:szCs w:val="20"/>
                <w:lang w:eastAsia="en-GB"/>
              </w:rPr>
              <w:t xml:space="preserve"> calm</w:t>
            </w:r>
          </w:p>
          <w:p w14:paraId="6BDD171F" w14:textId="77777777" w:rsidR="00370C70" w:rsidRPr="00C02422" w:rsidRDefault="00C02422" w:rsidP="00C02422">
            <w:pPr>
              <w:numPr>
                <w:ilvl w:val="0"/>
                <w:numId w:val="35"/>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Show</w:t>
            </w:r>
            <w:r w:rsidR="00370C70" w:rsidRPr="00C02422">
              <w:rPr>
                <w:rFonts w:ascii="Arial" w:eastAsia="Times New Roman" w:hAnsi="Arial" w:cs="Arial"/>
                <w:sz w:val="20"/>
                <w:szCs w:val="20"/>
                <w:lang w:eastAsia="en-GB"/>
              </w:rPr>
              <w:t xml:space="preserve"> understanding and be prepared to seek a solution</w:t>
            </w:r>
          </w:p>
          <w:p w14:paraId="1BCCE92A" w14:textId="77777777" w:rsidR="00370C70" w:rsidRPr="00C02422" w:rsidRDefault="00C02422" w:rsidP="00C02422">
            <w:pPr>
              <w:numPr>
                <w:ilvl w:val="0"/>
                <w:numId w:val="35"/>
              </w:numPr>
              <w:rPr>
                <w:rFonts w:ascii="Arial" w:eastAsiaTheme="minorEastAsia" w:hAnsi="Arial" w:cs="Arial"/>
                <w:spacing w:val="15"/>
                <w:sz w:val="20"/>
                <w:szCs w:val="20"/>
              </w:rPr>
            </w:pPr>
            <w:r w:rsidRPr="00C02422">
              <w:rPr>
                <w:rFonts w:ascii="Arial" w:eastAsiaTheme="minorEastAsia" w:hAnsi="Arial" w:cs="Arial"/>
                <w:spacing w:val="15"/>
                <w:sz w:val="20"/>
                <w:szCs w:val="20"/>
              </w:rPr>
              <w:t>Consider</w:t>
            </w:r>
            <w:r w:rsidR="00370C70" w:rsidRPr="00C02422">
              <w:rPr>
                <w:rFonts w:ascii="Arial" w:eastAsiaTheme="minorEastAsia" w:hAnsi="Arial" w:cs="Arial"/>
                <w:spacing w:val="15"/>
                <w:sz w:val="20"/>
                <w:szCs w:val="20"/>
              </w:rPr>
              <w:t xml:space="preserve"> a compromise</w:t>
            </w:r>
          </w:p>
          <w:p w14:paraId="1F19AF20" w14:textId="000DE6C2" w:rsidR="00370C70" w:rsidRPr="00C02422" w:rsidRDefault="00BA3A25" w:rsidP="00C02422">
            <w:pPr>
              <w:numPr>
                <w:ilvl w:val="0"/>
                <w:numId w:val="35"/>
              </w:numPr>
              <w:contextualSpacing/>
              <w:rPr>
                <w:rFonts w:ascii="Arial" w:eastAsia="Times New Roman" w:hAnsi="Arial" w:cs="Arial"/>
                <w:sz w:val="20"/>
                <w:szCs w:val="20"/>
              </w:rPr>
            </w:pPr>
            <w:r w:rsidRPr="00C02422">
              <w:rPr>
                <w:rFonts w:ascii="Arial" w:eastAsia="Times New Roman" w:hAnsi="Arial" w:cs="Arial"/>
                <w:sz w:val="20"/>
                <w:szCs w:val="20"/>
              </w:rPr>
              <w:lastRenderedPageBreak/>
              <w:t>Recognize</w:t>
            </w:r>
            <w:r w:rsidR="00370C70" w:rsidRPr="00C02422">
              <w:rPr>
                <w:rFonts w:ascii="Arial" w:eastAsia="Times New Roman" w:hAnsi="Arial" w:cs="Arial"/>
                <w:sz w:val="20"/>
                <w:szCs w:val="20"/>
              </w:rPr>
              <w:t xml:space="preserve"> when it is not working and when to involve others.</w:t>
            </w:r>
          </w:p>
          <w:p w14:paraId="37602150" w14:textId="77777777" w:rsidR="00370C70" w:rsidRPr="00C02422" w:rsidRDefault="00370C70" w:rsidP="00C02422">
            <w:pPr>
              <w:autoSpaceDE w:val="0"/>
              <w:autoSpaceDN w:val="0"/>
              <w:adjustRightInd w:val="0"/>
              <w:rPr>
                <w:rFonts w:ascii="Arial" w:eastAsia="Times New Roman" w:hAnsi="Arial" w:cs="Arial"/>
                <w:sz w:val="20"/>
                <w:szCs w:val="20"/>
                <w:lang w:eastAsia="en-GB"/>
              </w:rPr>
            </w:pPr>
          </w:p>
          <w:p w14:paraId="7DEAC6DC" w14:textId="77777777" w:rsidR="00F96859" w:rsidRPr="00C02422" w:rsidRDefault="00F96859" w:rsidP="00C02422">
            <w:pPr>
              <w:pStyle w:val="ListParagraph"/>
              <w:rPr>
                <w:rFonts w:ascii="Arial" w:eastAsia="Calibri" w:hAnsi="Arial" w:cs="Arial"/>
                <w:sz w:val="20"/>
                <w:szCs w:val="20"/>
              </w:rPr>
            </w:pPr>
          </w:p>
        </w:tc>
      </w:tr>
      <w:tr w:rsidR="00F96859" w:rsidRPr="00C02422" w14:paraId="01B99980" w14:textId="77777777" w:rsidTr="00E936E7">
        <w:trPr>
          <w:trHeight w:val="569"/>
        </w:trPr>
        <w:tc>
          <w:tcPr>
            <w:tcW w:w="2245" w:type="dxa"/>
            <w:vMerge/>
          </w:tcPr>
          <w:p w14:paraId="3A237F45" w14:textId="77777777" w:rsidR="00F96859" w:rsidRPr="00C02422" w:rsidRDefault="00F96859" w:rsidP="00C02422">
            <w:pPr>
              <w:pStyle w:val="Default"/>
              <w:rPr>
                <w:rFonts w:ascii="Arial" w:hAnsi="Arial" w:cs="Arial"/>
                <w:color w:val="auto"/>
                <w:sz w:val="20"/>
                <w:szCs w:val="20"/>
              </w:rPr>
            </w:pPr>
          </w:p>
        </w:tc>
        <w:tc>
          <w:tcPr>
            <w:tcW w:w="3330" w:type="dxa"/>
          </w:tcPr>
          <w:p w14:paraId="7ED653D4" w14:textId="77777777" w:rsidR="00F96859" w:rsidRPr="00C02422" w:rsidRDefault="00F96859" w:rsidP="00C02422">
            <w:pPr>
              <w:pStyle w:val="Default"/>
              <w:numPr>
                <w:ilvl w:val="1"/>
                <w:numId w:val="31"/>
              </w:numPr>
              <w:rPr>
                <w:rFonts w:ascii="Arial" w:hAnsi="Arial" w:cs="Arial"/>
                <w:color w:val="auto"/>
                <w:sz w:val="20"/>
                <w:szCs w:val="20"/>
              </w:rPr>
            </w:pPr>
            <w:r w:rsidRPr="00C02422">
              <w:rPr>
                <w:rFonts w:ascii="Arial" w:hAnsi="Arial" w:cs="Arial"/>
                <w:color w:val="auto"/>
                <w:sz w:val="20"/>
                <w:szCs w:val="20"/>
              </w:rPr>
              <w:t xml:space="preserve">Explain </w:t>
            </w:r>
            <w:r w:rsidR="00A04CA0" w:rsidRPr="00C02422">
              <w:rPr>
                <w:rFonts w:ascii="Arial" w:hAnsi="Arial" w:cs="Arial"/>
                <w:color w:val="auto"/>
                <w:sz w:val="20"/>
                <w:szCs w:val="20"/>
              </w:rPr>
              <w:t>organis</w:t>
            </w:r>
            <w:r w:rsidRPr="00C02422">
              <w:rPr>
                <w:rFonts w:ascii="Arial" w:hAnsi="Arial" w:cs="Arial"/>
                <w:color w:val="auto"/>
                <w:sz w:val="20"/>
                <w:szCs w:val="20"/>
              </w:rPr>
              <w:t xml:space="preserve">ational </w:t>
            </w:r>
          </w:p>
          <w:p w14:paraId="7F5ADD14"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procedures for dealing with customer complaints </w:t>
            </w:r>
          </w:p>
          <w:p w14:paraId="5BE04C37" w14:textId="77777777" w:rsidR="00F96859" w:rsidRPr="00C02422" w:rsidRDefault="00F96859" w:rsidP="00C02422">
            <w:pPr>
              <w:pStyle w:val="Default"/>
              <w:rPr>
                <w:rFonts w:ascii="Arial" w:hAnsi="Arial" w:cs="Arial"/>
                <w:color w:val="auto"/>
                <w:sz w:val="20"/>
                <w:szCs w:val="20"/>
              </w:rPr>
            </w:pPr>
          </w:p>
        </w:tc>
        <w:tc>
          <w:tcPr>
            <w:tcW w:w="7375" w:type="dxa"/>
          </w:tcPr>
          <w:p w14:paraId="46D8AEE0" w14:textId="77777777" w:rsidR="00F96859" w:rsidRPr="00C02422" w:rsidRDefault="00F96859" w:rsidP="00C02422">
            <w:pPr>
              <w:pStyle w:val="ListParagraph"/>
              <w:rPr>
                <w:rFonts w:ascii="Arial" w:eastAsia="Calibri" w:hAnsi="Arial" w:cs="Arial"/>
                <w:sz w:val="20"/>
                <w:szCs w:val="20"/>
              </w:rPr>
            </w:pPr>
          </w:p>
        </w:tc>
      </w:tr>
      <w:tr w:rsidR="00F96859" w:rsidRPr="00C02422" w14:paraId="2EAE551C" w14:textId="77777777" w:rsidTr="00E936E7">
        <w:trPr>
          <w:trHeight w:val="569"/>
        </w:trPr>
        <w:tc>
          <w:tcPr>
            <w:tcW w:w="2245" w:type="dxa"/>
            <w:vMerge/>
          </w:tcPr>
          <w:p w14:paraId="484279F9" w14:textId="77777777" w:rsidR="00F96859" w:rsidRPr="00C02422" w:rsidRDefault="00F96859" w:rsidP="00C02422">
            <w:pPr>
              <w:pStyle w:val="Default"/>
              <w:rPr>
                <w:rFonts w:ascii="Arial" w:hAnsi="Arial" w:cs="Arial"/>
                <w:color w:val="auto"/>
                <w:sz w:val="20"/>
                <w:szCs w:val="20"/>
              </w:rPr>
            </w:pPr>
          </w:p>
        </w:tc>
        <w:tc>
          <w:tcPr>
            <w:tcW w:w="3330" w:type="dxa"/>
          </w:tcPr>
          <w:p w14:paraId="394E2152" w14:textId="77777777" w:rsidR="00F96859" w:rsidRPr="00C02422" w:rsidRDefault="00F96859" w:rsidP="00C02422">
            <w:pPr>
              <w:pStyle w:val="Default"/>
              <w:numPr>
                <w:ilvl w:val="1"/>
                <w:numId w:val="31"/>
              </w:numPr>
              <w:rPr>
                <w:rFonts w:ascii="Arial" w:hAnsi="Arial" w:cs="Arial"/>
                <w:color w:val="auto"/>
                <w:sz w:val="20"/>
                <w:szCs w:val="20"/>
              </w:rPr>
            </w:pPr>
            <w:r w:rsidRPr="00C02422">
              <w:rPr>
                <w:rFonts w:ascii="Arial" w:hAnsi="Arial" w:cs="Arial"/>
                <w:color w:val="auto"/>
                <w:sz w:val="20"/>
                <w:szCs w:val="20"/>
              </w:rPr>
              <w:t xml:space="preserve">Explain when to escalate </w:t>
            </w:r>
          </w:p>
          <w:p w14:paraId="05612BCC"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customers’ complaints </w:t>
            </w:r>
          </w:p>
          <w:p w14:paraId="7BD9DEE3" w14:textId="77777777" w:rsidR="00F96859" w:rsidRPr="00C02422" w:rsidRDefault="00F96859" w:rsidP="00C02422">
            <w:pPr>
              <w:pStyle w:val="Default"/>
              <w:rPr>
                <w:rFonts w:ascii="Arial" w:hAnsi="Arial" w:cs="Arial"/>
                <w:color w:val="auto"/>
                <w:sz w:val="20"/>
                <w:szCs w:val="20"/>
              </w:rPr>
            </w:pPr>
          </w:p>
        </w:tc>
        <w:tc>
          <w:tcPr>
            <w:tcW w:w="7375" w:type="dxa"/>
          </w:tcPr>
          <w:p w14:paraId="7048A9FD" w14:textId="77777777" w:rsidR="00F96859" w:rsidRPr="00C02422" w:rsidRDefault="00F96859" w:rsidP="00C02422">
            <w:pPr>
              <w:pStyle w:val="ListParagraph"/>
              <w:rPr>
                <w:rFonts w:ascii="Arial" w:eastAsia="Calibri" w:hAnsi="Arial" w:cs="Arial"/>
                <w:sz w:val="20"/>
                <w:szCs w:val="20"/>
              </w:rPr>
            </w:pPr>
          </w:p>
        </w:tc>
      </w:tr>
      <w:tr w:rsidR="00F96859" w:rsidRPr="00C02422" w14:paraId="56B2017D" w14:textId="77777777" w:rsidTr="00E936E7">
        <w:trPr>
          <w:trHeight w:val="569"/>
        </w:trPr>
        <w:tc>
          <w:tcPr>
            <w:tcW w:w="2245" w:type="dxa"/>
            <w:vMerge/>
          </w:tcPr>
          <w:p w14:paraId="7103D2EF" w14:textId="77777777" w:rsidR="00F96859" w:rsidRPr="00C02422" w:rsidRDefault="00F96859" w:rsidP="00C02422">
            <w:pPr>
              <w:pStyle w:val="Default"/>
              <w:rPr>
                <w:rFonts w:ascii="Arial" w:hAnsi="Arial" w:cs="Arial"/>
                <w:color w:val="auto"/>
                <w:sz w:val="20"/>
                <w:szCs w:val="20"/>
              </w:rPr>
            </w:pPr>
          </w:p>
        </w:tc>
        <w:tc>
          <w:tcPr>
            <w:tcW w:w="3330" w:type="dxa"/>
          </w:tcPr>
          <w:p w14:paraId="3AC00AC5" w14:textId="77777777" w:rsidR="00F96859" w:rsidRPr="00C02422" w:rsidRDefault="00F96859" w:rsidP="00C02422">
            <w:pPr>
              <w:pStyle w:val="Default"/>
              <w:numPr>
                <w:ilvl w:val="1"/>
                <w:numId w:val="31"/>
              </w:numPr>
              <w:rPr>
                <w:rFonts w:ascii="Arial" w:hAnsi="Arial" w:cs="Arial"/>
                <w:color w:val="auto"/>
                <w:sz w:val="20"/>
                <w:szCs w:val="20"/>
              </w:rPr>
            </w:pPr>
            <w:r w:rsidRPr="00C02422">
              <w:rPr>
                <w:rFonts w:ascii="Arial" w:hAnsi="Arial" w:cs="Arial"/>
                <w:color w:val="auto"/>
                <w:sz w:val="20"/>
                <w:szCs w:val="20"/>
              </w:rPr>
              <w:t xml:space="preserve">Explain the cost and </w:t>
            </w:r>
          </w:p>
          <w:p w14:paraId="7469E96D"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regulatory implications of admitting liability on the basis of a customer complaint </w:t>
            </w:r>
          </w:p>
          <w:p w14:paraId="1E2CEDD7" w14:textId="77777777" w:rsidR="00F96859" w:rsidRPr="00C02422" w:rsidRDefault="00F96859" w:rsidP="00C02422">
            <w:pPr>
              <w:pStyle w:val="Default"/>
              <w:rPr>
                <w:rFonts w:ascii="Arial" w:hAnsi="Arial" w:cs="Arial"/>
                <w:color w:val="auto"/>
                <w:sz w:val="20"/>
                <w:szCs w:val="20"/>
              </w:rPr>
            </w:pPr>
          </w:p>
        </w:tc>
        <w:tc>
          <w:tcPr>
            <w:tcW w:w="7375" w:type="dxa"/>
          </w:tcPr>
          <w:p w14:paraId="3CAD12AB" w14:textId="77777777" w:rsidR="00F96859" w:rsidRPr="00C02422" w:rsidRDefault="00F96859" w:rsidP="00C02422">
            <w:pPr>
              <w:pStyle w:val="ListParagraph"/>
              <w:rPr>
                <w:rFonts w:ascii="Arial" w:eastAsia="Calibri" w:hAnsi="Arial" w:cs="Arial"/>
                <w:sz w:val="20"/>
                <w:szCs w:val="20"/>
              </w:rPr>
            </w:pPr>
          </w:p>
        </w:tc>
      </w:tr>
      <w:tr w:rsidR="00F96859" w:rsidRPr="00C02422" w14:paraId="7F9445E9" w14:textId="77777777" w:rsidTr="00E936E7">
        <w:trPr>
          <w:trHeight w:val="569"/>
        </w:trPr>
        <w:tc>
          <w:tcPr>
            <w:tcW w:w="2245" w:type="dxa"/>
            <w:vMerge/>
          </w:tcPr>
          <w:p w14:paraId="05EFEA50" w14:textId="77777777" w:rsidR="00F96859" w:rsidRPr="00C02422" w:rsidRDefault="00F96859" w:rsidP="00C02422">
            <w:pPr>
              <w:pStyle w:val="Default"/>
              <w:rPr>
                <w:rFonts w:ascii="Arial" w:hAnsi="Arial" w:cs="Arial"/>
                <w:color w:val="auto"/>
                <w:sz w:val="20"/>
                <w:szCs w:val="20"/>
              </w:rPr>
            </w:pPr>
          </w:p>
        </w:tc>
        <w:tc>
          <w:tcPr>
            <w:tcW w:w="3330" w:type="dxa"/>
          </w:tcPr>
          <w:p w14:paraId="5FFCA0A1" w14:textId="77777777" w:rsidR="00F96859" w:rsidRPr="00C02422" w:rsidRDefault="00F96859" w:rsidP="00C02422">
            <w:pPr>
              <w:pStyle w:val="Default"/>
              <w:numPr>
                <w:ilvl w:val="1"/>
                <w:numId w:val="31"/>
              </w:numPr>
              <w:rPr>
                <w:rFonts w:ascii="Arial" w:hAnsi="Arial" w:cs="Arial"/>
                <w:color w:val="auto"/>
                <w:sz w:val="20"/>
                <w:szCs w:val="20"/>
              </w:rPr>
            </w:pPr>
            <w:r w:rsidRPr="00C02422">
              <w:rPr>
                <w:rFonts w:ascii="Arial" w:hAnsi="Arial" w:cs="Arial"/>
                <w:color w:val="auto"/>
                <w:sz w:val="20"/>
                <w:szCs w:val="20"/>
              </w:rPr>
              <w:t xml:space="preserve">Explain the advantages and </w:t>
            </w:r>
          </w:p>
          <w:p w14:paraId="79AB28B6"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limitations of offering compensation or replacement products and/or services </w:t>
            </w:r>
          </w:p>
          <w:p w14:paraId="3645C15C" w14:textId="77777777" w:rsidR="00F96859" w:rsidRPr="00C02422" w:rsidRDefault="00F96859" w:rsidP="00C02422">
            <w:pPr>
              <w:pStyle w:val="Default"/>
              <w:rPr>
                <w:rFonts w:ascii="Arial" w:hAnsi="Arial" w:cs="Arial"/>
                <w:color w:val="auto"/>
                <w:sz w:val="20"/>
                <w:szCs w:val="20"/>
              </w:rPr>
            </w:pPr>
          </w:p>
        </w:tc>
        <w:tc>
          <w:tcPr>
            <w:tcW w:w="7375" w:type="dxa"/>
          </w:tcPr>
          <w:p w14:paraId="2D17A7FC" w14:textId="77777777" w:rsidR="00F96859" w:rsidRPr="00C02422" w:rsidRDefault="00F96859" w:rsidP="00C02422">
            <w:pPr>
              <w:pStyle w:val="ListParagraph"/>
              <w:rPr>
                <w:rFonts w:ascii="Arial" w:eastAsia="Calibri" w:hAnsi="Arial" w:cs="Arial"/>
                <w:sz w:val="20"/>
                <w:szCs w:val="20"/>
              </w:rPr>
            </w:pPr>
          </w:p>
        </w:tc>
      </w:tr>
      <w:tr w:rsidR="00370C70" w:rsidRPr="00C02422" w14:paraId="37416977" w14:textId="77777777" w:rsidTr="00370C70">
        <w:trPr>
          <w:trHeight w:val="569"/>
        </w:trPr>
        <w:tc>
          <w:tcPr>
            <w:tcW w:w="12950" w:type="dxa"/>
            <w:gridSpan w:val="3"/>
          </w:tcPr>
          <w:p w14:paraId="764AF3E7" w14:textId="77777777" w:rsidR="00370C70" w:rsidRPr="00C02422" w:rsidRDefault="00370C70" w:rsidP="00C02422">
            <w:p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Evidence may be supplied by:</w:t>
            </w:r>
          </w:p>
          <w:p w14:paraId="347BD34A" w14:textId="77777777" w:rsidR="00370C70" w:rsidRPr="00C02422" w:rsidRDefault="00C02422" w:rsidP="00C02422">
            <w:pPr>
              <w:numPr>
                <w:ilvl w:val="0"/>
                <w:numId w:val="32"/>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Professional</w:t>
            </w:r>
            <w:r w:rsidR="00370C70" w:rsidRPr="00C02422">
              <w:rPr>
                <w:rFonts w:ascii="Arial" w:eastAsia="Times New Roman" w:hAnsi="Arial" w:cs="Arial"/>
                <w:sz w:val="20"/>
                <w:szCs w:val="20"/>
                <w:lang w:eastAsia="en-GB"/>
              </w:rPr>
              <w:t xml:space="preserve"> discussion</w:t>
            </w:r>
          </w:p>
          <w:p w14:paraId="0D6586CB" w14:textId="77777777" w:rsidR="00370C70" w:rsidRPr="00C02422" w:rsidRDefault="00C02422" w:rsidP="00C02422">
            <w:pPr>
              <w:numPr>
                <w:ilvl w:val="0"/>
                <w:numId w:val="32"/>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Reflective</w:t>
            </w:r>
            <w:r w:rsidR="00370C70" w:rsidRPr="00C02422">
              <w:rPr>
                <w:rFonts w:ascii="Arial" w:eastAsia="Times New Roman" w:hAnsi="Arial" w:cs="Arial"/>
                <w:sz w:val="20"/>
                <w:szCs w:val="20"/>
                <w:lang w:eastAsia="en-GB"/>
              </w:rPr>
              <w:t xml:space="preserve"> account </w:t>
            </w:r>
          </w:p>
          <w:p w14:paraId="0AF0C31C" w14:textId="77777777" w:rsidR="00370C70" w:rsidRPr="00C02422" w:rsidRDefault="00C02422" w:rsidP="00C02422">
            <w:pPr>
              <w:numPr>
                <w:ilvl w:val="0"/>
                <w:numId w:val="32"/>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Questioning</w:t>
            </w:r>
          </w:p>
          <w:p w14:paraId="5179C6D6" w14:textId="77777777" w:rsidR="00370C70" w:rsidRPr="00C02422" w:rsidRDefault="00C02422" w:rsidP="00C02422">
            <w:pPr>
              <w:numPr>
                <w:ilvl w:val="0"/>
                <w:numId w:val="32"/>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Organisational</w:t>
            </w:r>
            <w:r w:rsidR="00370C70" w:rsidRPr="00C02422">
              <w:rPr>
                <w:rFonts w:ascii="Arial" w:eastAsia="Times New Roman" w:hAnsi="Arial" w:cs="Arial"/>
                <w:sz w:val="20"/>
                <w:szCs w:val="20"/>
                <w:lang w:eastAsia="en-GB"/>
              </w:rPr>
              <w:t xml:space="preserve"> policies and procedures</w:t>
            </w:r>
          </w:p>
          <w:p w14:paraId="47CDEC63" w14:textId="77777777" w:rsidR="00370C70" w:rsidRPr="00C02422" w:rsidRDefault="00C02422" w:rsidP="00C02422">
            <w:pPr>
              <w:numPr>
                <w:ilvl w:val="0"/>
                <w:numId w:val="32"/>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Conflict</w:t>
            </w:r>
            <w:r w:rsidR="00370C70" w:rsidRPr="00C02422">
              <w:rPr>
                <w:rFonts w:ascii="Arial" w:eastAsia="Times New Roman" w:hAnsi="Arial" w:cs="Arial"/>
                <w:sz w:val="20"/>
                <w:szCs w:val="20"/>
                <w:lang w:eastAsia="en-GB"/>
              </w:rPr>
              <w:t xml:space="preserve"> management techniques</w:t>
            </w:r>
          </w:p>
          <w:p w14:paraId="41F27A57" w14:textId="77777777" w:rsidR="00370C70" w:rsidRPr="00C02422" w:rsidRDefault="00C02422" w:rsidP="00C02422">
            <w:pPr>
              <w:numPr>
                <w:ilvl w:val="0"/>
                <w:numId w:val="32"/>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Service</w:t>
            </w:r>
            <w:r w:rsidR="00370C70" w:rsidRPr="00C02422">
              <w:rPr>
                <w:rFonts w:ascii="Arial" w:eastAsia="Times New Roman" w:hAnsi="Arial" w:cs="Arial"/>
                <w:sz w:val="20"/>
                <w:szCs w:val="20"/>
                <w:lang w:eastAsia="en-GB"/>
              </w:rPr>
              <w:t xml:space="preserve"> offer</w:t>
            </w:r>
          </w:p>
          <w:p w14:paraId="0E4C366C" w14:textId="77777777" w:rsidR="00370C70" w:rsidRPr="00C02422" w:rsidRDefault="00C02422" w:rsidP="00C02422">
            <w:pPr>
              <w:numPr>
                <w:ilvl w:val="0"/>
                <w:numId w:val="32"/>
              </w:numPr>
              <w:autoSpaceDE w:val="0"/>
              <w:autoSpaceDN w:val="0"/>
              <w:adjustRightInd w:val="0"/>
              <w:rPr>
                <w:rFonts w:ascii="Arial" w:eastAsia="Times New Roman" w:hAnsi="Arial" w:cs="Arial"/>
                <w:sz w:val="20"/>
                <w:szCs w:val="20"/>
                <w:lang w:eastAsia="en-GB"/>
              </w:rPr>
            </w:pPr>
            <w:r w:rsidRPr="00C02422">
              <w:rPr>
                <w:rFonts w:ascii="Arial" w:eastAsia="Times New Roman" w:hAnsi="Arial" w:cs="Arial"/>
                <w:sz w:val="20"/>
                <w:szCs w:val="20"/>
                <w:lang w:eastAsia="en-GB"/>
              </w:rPr>
              <w:t>Refund</w:t>
            </w:r>
            <w:r w:rsidR="00370C70" w:rsidRPr="00C02422">
              <w:rPr>
                <w:rFonts w:ascii="Arial" w:eastAsia="Times New Roman" w:hAnsi="Arial" w:cs="Arial"/>
                <w:sz w:val="20"/>
                <w:szCs w:val="20"/>
                <w:lang w:eastAsia="en-GB"/>
              </w:rPr>
              <w:t xml:space="preserve"> policy</w:t>
            </w:r>
          </w:p>
          <w:p w14:paraId="1CD08668" w14:textId="77777777" w:rsidR="00370C70" w:rsidRPr="00C02422" w:rsidRDefault="00C02422" w:rsidP="00C02422">
            <w:pPr>
              <w:numPr>
                <w:ilvl w:val="0"/>
                <w:numId w:val="32"/>
              </w:numPr>
              <w:autoSpaceDE w:val="0"/>
              <w:autoSpaceDN w:val="0"/>
              <w:adjustRightInd w:val="0"/>
              <w:rPr>
                <w:rFonts w:ascii="Arial" w:eastAsia="Calibri" w:hAnsi="Arial" w:cs="Arial"/>
                <w:sz w:val="20"/>
                <w:szCs w:val="20"/>
              </w:rPr>
            </w:pPr>
            <w:r w:rsidRPr="00C02422">
              <w:rPr>
                <w:rFonts w:ascii="Arial" w:eastAsia="Times New Roman" w:hAnsi="Arial" w:cs="Arial"/>
                <w:sz w:val="20"/>
                <w:szCs w:val="20"/>
                <w:lang w:eastAsia="en-GB"/>
              </w:rPr>
              <w:t>Knowledge</w:t>
            </w:r>
            <w:r w:rsidR="00370C70" w:rsidRPr="00C02422">
              <w:rPr>
                <w:rFonts w:ascii="Arial" w:eastAsia="Times New Roman" w:hAnsi="Arial" w:cs="Arial"/>
                <w:sz w:val="20"/>
                <w:szCs w:val="20"/>
                <w:lang w:eastAsia="en-GB"/>
              </w:rPr>
              <w:t xml:space="preserve"> base content*</w:t>
            </w:r>
          </w:p>
          <w:p w14:paraId="06C10DF7" w14:textId="77777777" w:rsidR="00370C70" w:rsidRPr="00C02422" w:rsidRDefault="00370C70" w:rsidP="00C02422">
            <w:pPr>
              <w:autoSpaceDE w:val="0"/>
              <w:autoSpaceDN w:val="0"/>
              <w:adjustRightInd w:val="0"/>
              <w:rPr>
                <w:rFonts w:ascii="Arial" w:eastAsia="Calibri" w:hAnsi="Arial" w:cs="Arial"/>
                <w:sz w:val="20"/>
                <w:szCs w:val="20"/>
              </w:rPr>
            </w:pPr>
          </w:p>
        </w:tc>
      </w:tr>
      <w:tr w:rsidR="00F2736F" w:rsidRPr="00C02422" w14:paraId="2F787383" w14:textId="77777777" w:rsidTr="00E936E7">
        <w:trPr>
          <w:trHeight w:val="569"/>
        </w:trPr>
        <w:tc>
          <w:tcPr>
            <w:tcW w:w="2245" w:type="dxa"/>
            <w:vMerge w:val="restart"/>
          </w:tcPr>
          <w:p w14:paraId="6377BE90"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2. Be able to deal with customers’ complaints </w:t>
            </w:r>
          </w:p>
          <w:p w14:paraId="03D68D55" w14:textId="77777777" w:rsidR="00F2736F" w:rsidRPr="00C02422" w:rsidRDefault="00F2736F" w:rsidP="00C02422">
            <w:pPr>
              <w:pStyle w:val="Default"/>
              <w:rPr>
                <w:rFonts w:ascii="Arial" w:hAnsi="Arial" w:cs="Arial"/>
                <w:color w:val="auto"/>
                <w:sz w:val="20"/>
                <w:szCs w:val="20"/>
              </w:rPr>
            </w:pPr>
          </w:p>
        </w:tc>
        <w:tc>
          <w:tcPr>
            <w:tcW w:w="3330" w:type="dxa"/>
          </w:tcPr>
          <w:p w14:paraId="58F8A263" w14:textId="77777777" w:rsidR="00F2736F"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2.1 Confirm the nature, cause and implications of customers’ complaints </w:t>
            </w:r>
          </w:p>
          <w:p w14:paraId="557A85C2" w14:textId="77777777" w:rsidR="00F96859" w:rsidRPr="00C02422" w:rsidRDefault="00F96859" w:rsidP="00C02422">
            <w:pPr>
              <w:pStyle w:val="Default"/>
              <w:rPr>
                <w:rFonts w:ascii="Arial" w:hAnsi="Arial" w:cs="Arial"/>
                <w:color w:val="auto"/>
                <w:sz w:val="20"/>
                <w:szCs w:val="20"/>
              </w:rPr>
            </w:pPr>
          </w:p>
        </w:tc>
        <w:tc>
          <w:tcPr>
            <w:tcW w:w="7375" w:type="dxa"/>
          </w:tcPr>
          <w:p w14:paraId="586A3C7D" w14:textId="77777777" w:rsidR="00370C70" w:rsidRPr="00C02422" w:rsidRDefault="00370C70" w:rsidP="00C02422">
            <w:pPr>
              <w:rPr>
                <w:rFonts w:ascii="Arial" w:hAnsi="Arial" w:cs="Arial"/>
                <w:sz w:val="20"/>
                <w:szCs w:val="20"/>
              </w:rPr>
            </w:pPr>
          </w:p>
          <w:p w14:paraId="7E9F7F84" w14:textId="77777777" w:rsidR="00370C70" w:rsidRPr="00C02422" w:rsidRDefault="00370C70" w:rsidP="00C02422">
            <w:pPr>
              <w:pStyle w:val="ListParagraph"/>
              <w:rPr>
                <w:rFonts w:ascii="Arial" w:hAnsi="Arial" w:cs="Arial"/>
                <w:sz w:val="20"/>
                <w:szCs w:val="20"/>
              </w:rPr>
            </w:pPr>
          </w:p>
          <w:p w14:paraId="47EBF1AD" w14:textId="77777777" w:rsidR="00370C70" w:rsidRPr="00C02422" w:rsidRDefault="00370C70" w:rsidP="00C02422">
            <w:pPr>
              <w:rPr>
                <w:rFonts w:ascii="Arial" w:hAnsi="Arial" w:cs="Arial"/>
                <w:sz w:val="20"/>
                <w:szCs w:val="20"/>
              </w:rPr>
            </w:pPr>
          </w:p>
          <w:p w14:paraId="41A3441A" w14:textId="77777777" w:rsidR="00F2736F" w:rsidRPr="00C02422" w:rsidRDefault="00F2736F" w:rsidP="00C02422">
            <w:pPr>
              <w:pStyle w:val="ListParagraph"/>
              <w:rPr>
                <w:rFonts w:ascii="Arial" w:eastAsia="Calibri" w:hAnsi="Arial" w:cs="Arial"/>
                <w:sz w:val="20"/>
                <w:szCs w:val="20"/>
              </w:rPr>
            </w:pPr>
          </w:p>
        </w:tc>
      </w:tr>
      <w:tr w:rsidR="00F2736F" w:rsidRPr="00C02422" w14:paraId="2114302B" w14:textId="77777777" w:rsidTr="00E936E7">
        <w:trPr>
          <w:trHeight w:val="569"/>
        </w:trPr>
        <w:tc>
          <w:tcPr>
            <w:tcW w:w="2245" w:type="dxa"/>
            <w:vMerge/>
          </w:tcPr>
          <w:p w14:paraId="3AF428CE" w14:textId="77777777" w:rsidR="00F2736F" w:rsidRPr="00C02422" w:rsidRDefault="00F2736F" w:rsidP="00C02422">
            <w:pPr>
              <w:rPr>
                <w:rFonts w:ascii="Arial" w:eastAsia="Calibri" w:hAnsi="Arial" w:cs="Arial"/>
                <w:sz w:val="20"/>
                <w:szCs w:val="20"/>
              </w:rPr>
            </w:pPr>
          </w:p>
        </w:tc>
        <w:tc>
          <w:tcPr>
            <w:tcW w:w="3330" w:type="dxa"/>
          </w:tcPr>
          <w:p w14:paraId="43CE33DD" w14:textId="77777777" w:rsidR="00F2736F"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2.2 Take personal responsibility for dealing with complaints </w:t>
            </w:r>
          </w:p>
          <w:p w14:paraId="58A874A2" w14:textId="77777777" w:rsidR="00F96859" w:rsidRPr="00C02422" w:rsidRDefault="00F96859" w:rsidP="00C02422">
            <w:pPr>
              <w:pStyle w:val="Default"/>
              <w:rPr>
                <w:rFonts w:ascii="Arial" w:hAnsi="Arial" w:cs="Arial"/>
                <w:color w:val="auto"/>
                <w:sz w:val="20"/>
                <w:szCs w:val="20"/>
              </w:rPr>
            </w:pPr>
          </w:p>
        </w:tc>
        <w:tc>
          <w:tcPr>
            <w:tcW w:w="7375" w:type="dxa"/>
          </w:tcPr>
          <w:p w14:paraId="518F5267" w14:textId="77777777" w:rsidR="00370C70" w:rsidRPr="00C02422" w:rsidRDefault="00370C70" w:rsidP="00C02422">
            <w:pPr>
              <w:rPr>
                <w:rFonts w:ascii="Arial" w:hAnsi="Arial" w:cs="Arial"/>
                <w:sz w:val="20"/>
                <w:szCs w:val="20"/>
              </w:rPr>
            </w:pPr>
            <w:r w:rsidRPr="00C02422">
              <w:rPr>
                <w:rFonts w:ascii="Arial" w:hAnsi="Arial" w:cs="Arial"/>
                <w:sz w:val="20"/>
                <w:szCs w:val="20"/>
              </w:rPr>
              <w:t xml:space="preserve">Personal responsibility </w:t>
            </w:r>
          </w:p>
          <w:p w14:paraId="0259144F" w14:textId="247CE0E9" w:rsidR="00370C70" w:rsidRPr="00C02422" w:rsidRDefault="00370C70" w:rsidP="00C02422">
            <w:pPr>
              <w:rPr>
                <w:rFonts w:ascii="Arial" w:hAnsi="Arial" w:cs="Arial"/>
                <w:sz w:val="20"/>
                <w:szCs w:val="20"/>
              </w:rPr>
            </w:pPr>
            <w:r w:rsidRPr="00C02422">
              <w:rPr>
                <w:rFonts w:ascii="Arial" w:hAnsi="Arial" w:cs="Arial"/>
                <w:sz w:val="20"/>
                <w:szCs w:val="20"/>
              </w:rPr>
              <w:t xml:space="preserve">Here you will be required to show you have taken responsibility for each of the complaints you have dealt with. You are not required to have resolved them all yourself but to take responsibility by </w:t>
            </w:r>
            <w:r w:rsidR="00BA3A25" w:rsidRPr="00C02422">
              <w:rPr>
                <w:rFonts w:ascii="Arial" w:hAnsi="Arial" w:cs="Arial"/>
                <w:sz w:val="20"/>
                <w:szCs w:val="20"/>
              </w:rPr>
              <w:t>e.g.</w:t>
            </w:r>
            <w:r w:rsidRPr="00C02422">
              <w:rPr>
                <w:rFonts w:ascii="Arial" w:hAnsi="Arial" w:cs="Arial"/>
                <w:sz w:val="20"/>
                <w:szCs w:val="20"/>
              </w:rPr>
              <w:t xml:space="preserve"> escalating the issue, keeping the customer informed of progress and following up with the customer to ensure the complaint has been resolved. Resolved does not mean the customers’ complaints have all been upheld but that the customer has been satisfied the complaints process has been carried out.</w:t>
            </w:r>
          </w:p>
          <w:p w14:paraId="2E6CDAD7" w14:textId="77777777" w:rsidR="00F2736F" w:rsidRPr="00C02422" w:rsidRDefault="00F2736F" w:rsidP="00C02422">
            <w:pPr>
              <w:pStyle w:val="ListParagraph"/>
              <w:rPr>
                <w:rFonts w:ascii="Arial" w:eastAsia="Calibri" w:hAnsi="Arial" w:cs="Arial"/>
                <w:sz w:val="20"/>
                <w:szCs w:val="20"/>
              </w:rPr>
            </w:pPr>
          </w:p>
        </w:tc>
      </w:tr>
      <w:tr w:rsidR="00F2736F" w:rsidRPr="00C02422" w14:paraId="48F0BAE6" w14:textId="77777777" w:rsidTr="00E936E7">
        <w:trPr>
          <w:trHeight w:val="569"/>
        </w:trPr>
        <w:tc>
          <w:tcPr>
            <w:tcW w:w="2245" w:type="dxa"/>
            <w:vMerge/>
          </w:tcPr>
          <w:p w14:paraId="1E88A5BC" w14:textId="77777777" w:rsidR="00F2736F" w:rsidRPr="00C02422" w:rsidRDefault="00F2736F" w:rsidP="00C02422">
            <w:pPr>
              <w:pStyle w:val="Default"/>
              <w:numPr>
                <w:ilvl w:val="0"/>
                <w:numId w:val="27"/>
              </w:numPr>
              <w:rPr>
                <w:rFonts w:ascii="Arial" w:hAnsi="Arial" w:cs="Arial"/>
                <w:color w:val="auto"/>
                <w:sz w:val="20"/>
                <w:szCs w:val="20"/>
              </w:rPr>
            </w:pPr>
          </w:p>
        </w:tc>
        <w:tc>
          <w:tcPr>
            <w:tcW w:w="3330" w:type="dxa"/>
          </w:tcPr>
          <w:p w14:paraId="7B4AD50A"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2.3 Communicate in a way that recognises customers’ problems and understands their points of view </w:t>
            </w:r>
          </w:p>
          <w:p w14:paraId="00DBE63C" w14:textId="77777777" w:rsidR="00F2736F" w:rsidRPr="00C02422" w:rsidRDefault="00F2736F" w:rsidP="00C02422">
            <w:pPr>
              <w:pStyle w:val="Default"/>
              <w:rPr>
                <w:rFonts w:ascii="Arial" w:hAnsi="Arial" w:cs="Arial"/>
                <w:color w:val="auto"/>
                <w:sz w:val="20"/>
                <w:szCs w:val="20"/>
              </w:rPr>
            </w:pPr>
          </w:p>
        </w:tc>
        <w:tc>
          <w:tcPr>
            <w:tcW w:w="7375" w:type="dxa"/>
          </w:tcPr>
          <w:p w14:paraId="0F1C3A2E" w14:textId="77777777" w:rsidR="00F2736F" w:rsidRPr="00C02422" w:rsidRDefault="00F2736F" w:rsidP="00C02422">
            <w:pPr>
              <w:pStyle w:val="ListParagraph"/>
              <w:rPr>
                <w:rFonts w:ascii="Arial" w:eastAsia="Calibri" w:hAnsi="Arial" w:cs="Arial"/>
                <w:sz w:val="20"/>
                <w:szCs w:val="20"/>
              </w:rPr>
            </w:pPr>
          </w:p>
        </w:tc>
      </w:tr>
      <w:tr w:rsidR="00F2736F" w:rsidRPr="00C02422" w14:paraId="49F056D2" w14:textId="77777777" w:rsidTr="00E936E7">
        <w:trPr>
          <w:trHeight w:val="569"/>
        </w:trPr>
        <w:tc>
          <w:tcPr>
            <w:tcW w:w="2245" w:type="dxa"/>
            <w:vMerge/>
          </w:tcPr>
          <w:p w14:paraId="563ED3C5" w14:textId="77777777" w:rsidR="00F2736F" w:rsidRPr="00C02422" w:rsidRDefault="00F2736F" w:rsidP="00C02422">
            <w:pPr>
              <w:pStyle w:val="Default"/>
              <w:ind w:left="360"/>
              <w:rPr>
                <w:rFonts w:ascii="Arial" w:hAnsi="Arial" w:cs="Arial"/>
                <w:color w:val="auto"/>
                <w:sz w:val="20"/>
                <w:szCs w:val="20"/>
              </w:rPr>
            </w:pPr>
          </w:p>
        </w:tc>
        <w:tc>
          <w:tcPr>
            <w:tcW w:w="3330" w:type="dxa"/>
          </w:tcPr>
          <w:p w14:paraId="434F165E"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2.4 Explain the advantages and limitations of different complaint response options to customers </w:t>
            </w:r>
          </w:p>
          <w:p w14:paraId="4C19D9E8" w14:textId="77777777" w:rsidR="00F2736F" w:rsidRPr="00C02422" w:rsidRDefault="00F2736F" w:rsidP="00C02422">
            <w:pPr>
              <w:pStyle w:val="Default"/>
              <w:rPr>
                <w:rFonts w:ascii="Arial" w:hAnsi="Arial" w:cs="Arial"/>
                <w:color w:val="auto"/>
                <w:sz w:val="20"/>
                <w:szCs w:val="20"/>
              </w:rPr>
            </w:pPr>
          </w:p>
        </w:tc>
        <w:tc>
          <w:tcPr>
            <w:tcW w:w="7375" w:type="dxa"/>
          </w:tcPr>
          <w:p w14:paraId="16C9773F" w14:textId="77777777" w:rsidR="00F2736F" w:rsidRPr="00C02422" w:rsidRDefault="00F2736F" w:rsidP="00C02422">
            <w:pPr>
              <w:pStyle w:val="ListParagraph"/>
              <w:rPr>
                <w:rFonts w:ascii="Arial" w:eastAsia="Calibri" w:hAnsi="Arial" w:cs="Arial"/>
                <w:sz w:val="20"/>
                <w:szCs w:val="20"/>
              </w:rPr>
            </w:pPr>
          </w:p>
        </w:tc>
      </w:tr>
      <w:tr w:rsidR="00F2736F" w:rsidRPr="00C02422" w14:paraId="0798BEC6" w14:textId="77777777" w:rsidTr="00E936E7">
        <w:trPr>
          <w:trHeight w:val="569"/>
        </w:trPr>
        <w:tc>
          <w:tcPr>
            <w:tcW w:w="2245" w:type="dxa"/>
            <w:vMerge/>
          </w:tcPr>
          <w:p w14:paraId="243F9334" w14:textId="77777777" w:rsidR="00F2736F" w:rsidRPr="00C02422" w:rsidRDefault="00F2736F" w:rsidP="00C02422">
            <w:pPr>
              <w:pStyle w:val="Default"/>
              <w:ind w:left="360"/>
              <w:rPr>
                <w:rFonts w:ascii="Arial" w:hAnsi="Arial" w:cs="Arial"/>
                <w:color w:val="auto"/>
                <w:sz w:val="20"/>
                <w:szCs w:val="20"/>
              </w:rPr>
            </w:pPr>
          </w:p>
        </w:tc>
        <w:tc>
          <w:tcPr>
            <w:tcW w:w="3330" w:type="dxa"/>
          </w:tcPr>
          <w:p w14:paraId="35FEEE5C"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2.5 Explain the advantages and limitations of different complaint response options to the organisation </w:t>
            </w:r>
          </w:p>
          <w:p w14:paraId="100B094E" w14:textId="77777777" w:rsidR="00F2736F" w:rsidRPr="00C02422" w:rsidRDefault="00F2736F" w:rsidP="00C02422">
            <w:pPr>
              <w:pStyle w:val="Default"/>
              <w:rPr>
                <w:rFonts w:ascii="Arial" w:hAnsi="Arial" w:cs="Arial"/>
                <w:color w:val="auto"/>
                <w:sz w:val="20"/>
                <w:szCs w:val="20"/>
              </w:rPr>
            </w:pPr>
          </w:p>
        </w:tc>
        <w:tc>
          <w:tcPr>
            <w:tcW w:w="7375" w:type="dxa"/>
          </w:tcPr>
          <w:p w14:paraId="1270AC90" w14:textId="77777777" w:rsidR="00F2736F" w:rsidRPr="00C02422" w:rsidRDefault="00F2736F" w:rsidP="00C02422">
            <w:pPr>
              <w:pStyle w:val="ListParagraph"/>
              <w:rPr>
                <w:rFonts w:ascii="Arial" w:eastAsia="Calibri" w:hAnsi="Arial" w:cs="Arial"/>
                <w:sz w:val="20"/>
                <w:szCs w:val="20"/>
              </w:rPr>
            </w:pPr>
          </w:p>
        </w:tc>
      </w:tr>
      <w:tr w:rsidR="00F2736F" w:rsidRPr="00C02422" w14:paraId="001A0C49" w14:textId="77777777" w:rsidTr="00E936E7">
        <w:trPr>
          <w:trHeight w:val="569"/>
        </w:trPr>
        <w:tc>
          <w:tcPr>
            <w:tcW w:w="2245" w:type="dxa"/>
            <w:vMerge/>
          </w:tcPr>
          <w:p w14:paraId="09DB56B9" w14:textId="77777777" w:rsidR="00F2736F" w:rsidRPr="00C02422" w:rsidRDefault="00F2736F" w:rsidP="00C02422">
            <w:pPr>
              <w:pStyle w:val="Default"/>
              <w:ind w:left="360"/>
              <w:rPr>
                <w:rFonts w:ascii="Arial" w:hAnsi="Arial" w:cs="Arial"/>
                <w:color w:val="auto"/>
                <w:sz w:val="20"/>
                <w:szCs w:val="20"/>
              </w:rPr>
            </w:pPr>
          </w:p>
        </w:tc>
        <w:tc>
          <w:tcPr>
            <w:tcW w:w="3330" w:type="dxa"/>
          </w:tcPr>
          <w:p w14:paraId="3E9AB1CD"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2.6 Keep customers informed of progress </w:t>
            </w:r>
          </w:p>
          <w:p w14:paraId="4FA3E0F6" w14:textId="77777777" w:rsidR="00F2736F" w:rsidRPr="00C02422" w:rsidRDefault="00F2736F" w:rsidP="00C02422">
            <w:pPr>
              <w:pStyle w:val="Default"/>
              <w:rPr>
                <w:rFonts w:ascii="Arial" w:hAnsi="Arial" w:cs="Arial"/>
                <w:color w:val="auto"/>
                <w:sz w:val="20"/>
                <w:szCs w:val="20"/>
              </w:rPr>
            </w:pPr>
          </w:p>
        </w:tc>
        <w:tc>
          <w:tcPr>
            <w:tcW w:w="7375" w:type="dxa"/>
          </w:tcPr>
          <w:p w14:paraId="5CFA0EE3" w14:textId="77777777" w:rsidR="00F2736F" w:rsidRPr="00C02422" w:rsidRDefault="00F2736F" w:rsidP="00C02422">
            <w:pPr>
              <w:pStyle w:val="ListParagraph"/>
              <w:rPr>
                <w:rFonts w:ascii="Arial" w:eastAsia="Calibri" w:hAnsi="Arial" w:cs="Arial"/>
                <w:sz w:val="20"/>
                <w:szCs w:val="20"/>
              </w:rPr>
            </w:pPr>
          </w:p>
        </w:tc>
      </w:tr>
      <w:tr w:rsidR="00F2736F" w:rsidRPr="00C02422" w14:paraId="03371CCE" w14:textId="77777777" w:rsidTr="00E936E7">
        <w:trPr>
          <w:trHeight w:val="569"/>
        </w:trPr>
        <w:tc>
          <w:tcPr>
            <w:tcW w:w="2245" w:type="dxa"/>
            <w:vMerge/>
          </w:tcPr>
          <w:p w14:paraId="0255FCA1" w14:textId="77777777" w:rsidR="00F2736F" w:rsidRPr="00C02422" w:rsidRDefault="00F2736F" w:rsidP="00C02422">
            <w:pPr>
              <w:pStyle w:val="Default"/>
              <w:rPr>
                <w:rFonts w:ascii="Arial" w:hAnsi="Arial" w:cs="Arial"/>
                <w:color w:val="auto"/>
                <w:sz w:val="20"/>
                <w:szCs w:val="20"/>
              </w:rPr>
            </w:pPr>
          </w:p>
        </w:tc>
        <w:tc>
          <w:tcPr>
            <w:tcW w:w="3330" w:type="dxa"/>
          </w:tcPr>
          <w:p w14:paraId="37C95121"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2.7 Agree solutions with customers that address the complaint and which are within the limits of their own authority </w:t>
            </w:r>
          </w:p>
          <w:p w14:paraId="413A4062" w14:textId="77777777" w:rsidR="00F2736F" w:rsidRPr="00C02422" w:rsidRDefault="00F2736F" w:rsidP="00C02422">
            <w:pPr>
              <w:pStyle w:val="Default"/>
              <w:rPr>
                <w:rFonts w:ascii="Arial" w:hAnsi="Arial" w:cs="Arial"/>
                <w:color w:val="auto"/>
                <w:sz w:val="20"/>
                <w:szCs w:val="20"/>
              </w:rPr>
            </w:pPr>
          </w:p>
        </w:tc>
        <w:tc>
          <w:tcPr>
            <w:tcW w:w="7375" w:type="dxa"/>
          </w:tcPr>
          <w:p w14:paraId="72C4CE9C" w14:textId="77777777" w:rsidR="00F2736F" w:rsidRPr="00C02422" w:rsidRDefault="00F2736F" w:rsidP="00C02422">
            <w:pPr>
              <w:pStyle w:val="ListParagraph"/>
              <w:rPr>
                <w:rFonts w:ascii="Arial" w:eastAsia="Calibri" w:hAnsi="Arial" w:cs="Arial"/>
                <w:sz w:val="20"/>
                <w:szCs w:val="20"/>
              </w:rPr>
            </w:pPr>
          </w:p>
        </w:tc>
      </w:tr>
      <w:tr w:rsidR="00F2736F" w:rsidRPr="00C02422" w14:paraId="585B8CA1" w14:textId="77777777" w:rsidTr="00E936E7">
        <w:trPr>
          <w:trHeight w:val="569"/>
        </w:trPr>
        <w:tc>
          <w:tcPr>
            <w:tcW w:w="2245" w:type="dxa"/>
            <w:vMerge/>
          </w:tcPr>
          <w:p w14:paraId="7458AE20" w14:textId="77777777" w:rsidR="00F2736F" w:rsidRPr="00C02422" w:rsidRDefault="00F2736F" w:rsidP="00C02422">
            <w:pPr>
              <w:pStyle w:val="Default"/>
              <w:rPr>
                <w:rFonts w:ascii="Arial" w:hAnsi="Arial" w:cs="Arial"/>
                <w:color w:val="auto"/>
                <w:sz w:val="20"/>
                <w:szCs w:val="20"/>
              </w:rPr>
            </w:pPr>
          </w:p>
        </w:tc>
        <w:tc>
          <w:tcPr>
            <w:tcW w:w="3330" w:type="dxa"/>
          </w:tcPr>
          <w:p w14:paraId="091CF0AD"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2.8 Record the outcome of the handling of complaints for future reference </w:t>
            </w:r>
          </w:p>
          <w:p w14:paraId="3649C862" w14:textId="77777777" w:rsidR="00F2736F" w:rsidRPr="00C02422" w:rsidRDefault="00F2736F" w:rsidP="00C02422">
            <w:pPr>
              <w:pStyle w:val="Default"/>
              <w:rPr>
                <w:rFonts w:ascii="Arial" w:hAnsi="Arial" w:cs="Arial"/>
                <w:color w:val="auto"/>
                <w:sz w:val="20"/>
                <w:szCs w:val="20"/>
              </w:rPr>
            </w:pPr>
          </w:p>
        </w:tc>
        <w:tc>
          <w:tcPr>
            <w:tcW w:w="7375" w:type="dxa"/>
          </w:tcPr>
          <w:p w14:paraId="47991F88" w14:textId="77777777" w:rsidR="00F2736F" w:rsidRPr="00C02422" w:rsidRDefault="00F2736F" w:rsidP="00C02422">
            <w:pPr>
              <w:pStyle w:val="ListParagraph"/>
              <w:rPr>
                <w:rFonts w:ascii="Arial" w:eastAsia="Calibri" w:hAnsi="Arial" w:cs="Arial"/>
                <w:sz w:val="20"/>
                <w:szCs w:val="20"/>
              </w:rPr>
            </w:pPr>
          </w:p>
        </w:tc>
      </w:tr>
      <w:tr w:rsidR="00F2736F" w:rsidRPr="00C02422" w14:paraId="12798D26" w14:textId="77777777" w:rsidTr="00E936E7">
        <w:trPr>
          <w:trHeight w:val="569"/>
        </w:trPr>
        <w:tc>
          <w:tcPr>
            <w:tcW w:w="2245" w:type="dxa"/>
            <w:vMerge/>
          </w:tcPr>
          <w:p w14:paraId="4B2EEFBA" w14:textId="77777777" w:rsidR="00F2736F" w:rsidRPr="00C02422" w:rsidRDefault="00F2736F" w:rsidP="00C02422">
            <w:pPr>
              <w:pStyle w:val="Default"/>
              <w:rPr>
                <w:rFonts w:ascii="Arial" w:hAnsi="Arial" w:cs="Arial"/>
                <w:color w:val="auto"/>
                <w:sz w:val="20"/>
                <w:szCs w:val="20"/>
              </w:rPr>
            </w:pPr>
          </w:p>
        </w:tc>
        <w:tc>
          <w:tcPr>
            <w:tcW w:w="3330" w:type="dxa"/>
          </w:tcPr>
          <w:p w14:paraId="62AF9A58" w14:textId="77777777" w:rsidR="00F96859" w:rsidRPr="00C02422" w:rsidRDefault="00F96859" w:rsidP="00C02422">
            <w:pPr>
              <w:pStyle w:val="Default"/>
              <w:rPr>
                <w:rFonts w:ascii="Arial" w:hAnsi="Arial" w:cs="Arial"/>
                <w:color w:val="auto"/>
                <w:sz w:val="20"/>
                <w:szCs w:val="20"/>
              </w:rPr>
            </w:pPr>
            <w:r w:rsidRPr="00C02422">
              <w:rPr>
                <w:rFonts w:ascii="Arial" w:hAnsi="Arial" w:cs="Arial"/>
                <w:color w:val="auto"/>
                <w:sz w:val="20"/>
                <w:szCs w:val="20"/>
              </w:rPr>
              <w:t xml:space="preserve">2.9 Adhere to organisational policies and procedures, legal and ethical requirements when dealing with customers’ complaints </w:t>
            </w:r>
          </w:p>
          <w:p w14:paraId="05C111C4" w14:textId="77777777" w:rsidR="00F2736F" w:rsidRPr="00C02422" w:rsidRDefault="00F2736F" w:rsidP="00C02422">
            <w:pPr>
              <w:pStyle w:val="Default"/>
              <w:rPr>
                <w:rFonts w:ascii="Arial" w:hAnsi="Arial" w:cs="Arial"/>
                <w:color w:val="auto"/>
                <w:sz w:val="20"/>
                <w:szCs w:val="20"/>
              </w:rPr>
            </w:pPr>
          </w:p>
        </w:tc>
        <w:tc>
          <w:tcPr>
            <w:tcW w:w="7375" w:type="dxa"/>
          </w:tcPr>
          <w:p w14:paraId="5AD33FFA" w14:textId="77777777" w:rsidR="00792C04" w:rsidRPr="00C02422" w:rsidRDefault="00792C04" w:rsidP="00C02422">
            <w:pPr>
              <w:rPr>
                <w:rFonts w:ascii="Arial" w:hAnsi="Arial" w:cs="Arial"/>
                <w:sz w:val="20"/>
                <w:szCs w:val="20"/>
              </w:rPr>
            </w:pPr>
            <w:r w:rsidRPr="00C02422">
              <w:rPr>
                <w:rFonts w:ascii="Arial" w:hAnsi="Arial" w:cs="Arial"/>
                <w:sz w:val="20"/>
                <w:szCs w:val="20"/>
              </w:rPr>
              <w:t>Organisational policies and procedures which relate to:</w:t>
            </w:r>
          </w:p>
          <w:p w14:paraId="754A475D" w14:textId="77777777" w:rsidR="00792C04" w:rsidRPr="00C02422" w:rsidRDefault="00C02422" w:rsidP="00C02422">
            <w:pPr>
              <w:pStyle w:val="ListParagraph"/>
              <w:numPr>
                <w:ilvl w:val="0"/>
                <w:numId w:val="37"/>
              </w:numPr>
              <w:rPr>
                <w:rFonts w:ascii="Arial" w:hAnsi="Arial" w:cs="Arial"/>
                <w:sz w:val="20"/>
                <w:szCs w:val="20"/>
              </w:rPr>
            </w:pPr>
            <w:r w:rsidRPr="00C02422">
              <w:rPr>
                <w:rFonts w:ascii="Arial" w:hAnsi="Arial" w:cs="Arial"/>
                <w:sz w:val="20"/>
                <w:szCs w:val="20"/>
              </w:rPr>
              <w:t>Roles</w:t>
            </w:r>
            <w:r w:rsidR="00792C04" w:rsidRPr="00C02422">
              <w:rPr>
                <w:rFonts w:ascii="Arial" w:hAnsi="Arial" w:cs="Arial"/>
                <w:sz w:val="20"/>
                <w:szCs w:val="20"/>
              </w:rPr>
              <w:t xml:space="preserve"> and responsibilities showing limits of authority</w:t>
            </w:r>
          </w:p>
          <w:p w14:paraId="3DA0AA0E" w14:textId="77777777" w:rsidR="00792C04" w:rsidRPr="00C02422" w:rsidRDefault="00C02422" w:rsidP="00C02422">
            <w:pPr>
              <w:pStyle w:val="ListParagraph"/>
              <w:numPr>
                <w:ilvl w:val="0"/>
                <w:numId w:val="37"/>
              </w:numPr>
              <w:rPr>
                <w:rFonts w:ascii="Arial" w:hAnsi="Arial" w:cs="Arial"/>
                <w:sz w:val="20"/>
                <w:szCs w:val="20"/>
              </w:rPr>
            </w:pPr>
            <w:r w:rsidRPr="00C02422">
              <w:rPr>
                <w:rFonts w:ascii="Arial" w:hAnsi="Arial" w:cs="Arial"/>
                <w:sz w:val="20"/>
                <w:szCs w:val="20"/>
              </w:rPr>
              <w:t>Service</w:t>
            </w:r>
            <w:r w:rsidR="00792C04" w:rsidRPr="00C02422">
              <w:rPr>
                <w:rFonts w:ascii="Arial" w:hAnsi="Arial" w:cs="Arial"/>
                <w:sz w:val="20"/>
                <w:szCs w:val="20"/>
              </w:rPr>
              <w:t xml:space="preserve"> offer</w:t>
            </w:r>
          </w:p>
          <w:p w14:paraId="57A8AAE2" w14:textId="77777777" w:rsidR="00792C04" w:rsidRPr="00C02422" w:rsidRDefault="00C02422" w:rsidP="00C02422">
            <w:pPr>
              <w:pStyle w:val="ListParagraph"/>
              <w:numPr>
                <w:ilvl w:val="0"/>
                <w:numId w:val="37"/>
              </w:numPr>
              <w:rPr>
                <w:rFonts w:ascii="Arial" w:hAnsi="Arial" w:cs="Arial"/>
                <w:sz w:val="20"/>
                <w:szCs w:val="20"/>
              </w:rPr>
            </w:pPr>
            <w:r w:rsidRPr="00C02422">
              <w:rPr>
                <w:rFonts w:ascii="Arial" w:hAnsi="Arial" w:cs="Arial"/>
                <w:sz w:val="20"/>
                <w:szCs w:val="20"/>
              </w:rPr>
              <w:t>Handling</w:t>
            </w:r>
            <w:r w:rsidR="00792C04" w:rsidRPr="00C02422">
              <w:rPr>
                <w:rFonts w:ascii="Arial" w:hAnsi="Arial" w:cs="Arial"/>
                <w:sz w:val="20"/>
                <w:szCs w:val="20"/>
              </w:rPr>
              <w:t xml:space="preserve"> of customer issues.</w:t>
            </w:r>
          </w:p>
          <w:p w14:paraId="7CB08B19" w14:textId="0565CF9E" w:rsidR="00792C04" w:rsidRPr="00C02422" w:rsidRDefault="00792C04" w:rsidP="00C02422">
            <w:pPr>
              <w:rPr>
                <w:rFonts w:ascii="Arial" w:hAnsi="Arial" w:cs="Arial"/>
                <w:sz w:val="20"/>
                <w:szCs w:val="20"/>
              </w:rPr>
            </w:pPr>
            <w:r w:rsidRPr="00C02422">
              <w:rPr>
                <w:rFonts w:ascii="Arial" w:hAnsi="Arial" w:cs="Arial"/>
                <w:sz w:val="20"/>
                <w:szCs w:val="20"/>
              </w:rPr>
              <w:t>Legal requirements</w:t>
            </w:r>
            <w:r w:rsidR="00BA3A25">
              <w:rPr>
                <w:rFonts w:ascii="Arial" w:hAnsi="Arial" w:cs="Arial"/>
                <w:sz w:val="20"/>
                <w:szCs w:val="20"/>
              </w:rPr>
              <w:t>:</w:t>
            </w:r>
          </w:p>
          <w:p w14:paraId="1BD5269C" w14:textId="77777777" w:rsidR="00792C04" w:rsidRPr="00C02422" w:rsidRDefault="00792C04" w:rsidP="00C02422">
            <w:pPr>
              <w:pStyle w:val="ListParagraph"/>
              <w:numPr>
                <w:ilvl w:val="0"/>
                <w:numId w:val="38"/>
              </w:numPr>
              <w:rPr>
                <w:rFonts w:ascii="Arial" w:hAnsi="Arial" w:cs="Arial"/>
                <w:sz w:val="20"/>
                <w:szCs w:val="20"/>
              </w:rPr>
            </w:pPr>
            <w:r w:rsidRPr="00C02422">
              <w:rPr>
                <w:rFonts w:ascii="Arial" w:hAnsi="Arial" w:cs="Arial"/>
                <w:sz w:val="20"/>
                <w:szCs w:val="20"/>
              </w:rPr>
              <w:t>Sale of Goods Act (Sale and Supply of Goods to Consumers Regulations)</w:t>
            </w:r>
          </w:p>
          <w:p w14:paraId="5B36F122" w14:textId="77777777" w:rsidR="00792C04" w:rsidRPr="00C02422" w:rsidRDefault="00792C04" w:rsidP="00C02422">
            <w:pPr>
              <w:pStyle w:val="ListParagraph"/>
              <w:numPr>
                <w:ilvl w:val="0"/>
                <w:numId w:val="38"/>
              </w:numPr>
              <w:rPr>
                <w:rFonts w:ascii="Arial" w:hAnsi="Arial" w:cs="Arial"/>
                <w:sz w:val="20"/>
                <w:szCs w:val="20"/>
              </w:rPr>
            </w:pPr>
            <w:r w:rsidRPr="00C02422">
              <w:rPr>
                <w:rFonts w:ascii="Arial" w:hAnsi="Arial" w:cs="Arial"/>
                <w:sz w:val="20"/>
                <w:szCs w:val="20"/>
              </w:rPr>
              <w:t>Trade Descriptions Act</w:t>
            </w:r>
          </w:p>
          <w:p w14:paraId="65CD839C" w14:textId="77777777" w:rsidR="00792C04" w:rsidRPr="00C02422" w:rsidRDefault="00792C04" w:rsidP="00C02422">
            <w:pPr>
              <w:pStyle w:val="ListParagraph"/>
              <w:numPr>
                <w:ilvl w:val="0"/>
                <w:numId w:val="38"/>
              </w:numPr>
              <w:rPr>
                <w:rFonts w:ascii="Arial" w:hAnsi="Arial" w:cs="Arial"/>
                <w:sz w:val="20"/>
                <w:szCs w:val="20"/>
              </w:rPr>
            </w:pPr>
            <w:r w:rsidRPr="00C02422">
              <w:rPr>
                <w:rFonts w:ascii="Arial" w:hAnsi="Arial" w:cs="Arial"/>
                <w:sz w:val="20"/>
                <w:szCs w:val="20"/>
              </w:rPr>
              <w:t>Data Protection Act.</w:t>
            </w:r>
          </w:p>
          <w:p w14:paraId="183EE4D8" w14:textId="77777777" w:rsidR="00792C04" w:rsidRPr="00C02422" w:rsidRDefault="00792C04" w:rsidP="00C02422">
            <w:pPr>
              <w:rPr>
                <w:rFonts w:ascii="Arial" w:hAnsi="Arial" w:cs="Arial"/>
                <w:sz w:val="20"/>
                <w:szCs w:val="20"/>
              </w:rPr>
            </w:pPr>
            <w:r w:rsidRPr="00C02422">
              <w:rPr>
                <w:rFonts w:ascii="Arial" w:hAnsi="Arial" w:cs="Arial"/>
                <w:sz w:val="20"/>
                <w:szCs w:val="20"/>
              </w:rPr>
              <w:t>Ethical requirements</w:t>
            </w:r>
          </w:p>
          <w:p w14:paraId="3FDDFEE5" w14:textId="77777777" w:rsidR="00792C04" w:rsidRPr="00C02422" w:rsidRDefault="00C02422" w:rsidP="00C02422">
            <w:pPr>
              <w:pStyle w:val="ListParagraph"/>
              <w:numPr>
                <w:ilvl w:val="0"/>
                <w:numId w:val="39"/>
              </w:numPr>
              <w:rPr>
                <w:rFonts w:ascii="Arial" w:hAnsi="Arial" w:cs="Arial"/>
                <w:sz w:val="20"/>
                <w:szCs w:val="20"/>
              </w:rPr>
            </w:pPr>
            <w:r w:rsidRPr="00C02422">
              <w:rPr>
                <w:rFonts w:ascii="Arial" w:hAnsi="Arial" w:cs="Arial"/>
                <w:sz w:val="20"/>
                <w:szCs w:val="20"/>
              </w:rPr>
              <w:t>Organisational</w:t>
            </w:r>
            <w:r w:rsidR="00792C04" w:rsidRPr="00C02422">
              <w:rPr>
                <w:rFonts w:ascii="Arial" w:hAnsi="Arial" w:cs="Arial"/>
                <w:sz w:val="20"/>
                <w:szCs w:val="20"/>
              </w:rPr>
              <w:t xml:space="preserve"> principles</w:t>
            </w:r>
          </w:p>
          <w:p w14:paraId="42887B85" w14:textId="77777777" w:rsidR="00792C04" w:rsidRPr="00C02422" w:rsidRDefault="00C02422" w:rsidP="00C02422">
            <w:pPr>
              <w:pStyle w:val="ListParagraph"/>
              <w:numPr>
                <w:ilvl w:val="0"/>
                <w:numId w:val="38"/>
              </w:numPr>
              <w:rPr>
                <w:rFonts w:ascii="Arial" w:hAnsi="Arial" w:cs="Arial"/>
                <w:sz w:val="20"/>
                <w:szCs w:val="20"/>
              </w:rPr>
            </w:pPr>
            <w:r w:rsidRPr="00C02422">
              <w:rPr>
                <w:rFonts w:ascii="Arial" w:hAnsi="Arial" w:cs="Arial"/>
                <w:sz w:val="20"/>
                <w:szCs w:val="20"/>
              </w:rPr>
              <w:t>Values</w:t>
            </w:r>
          </w:p>
          <w:p w14:paraId="08F77F7A" w14:textId="77777777" w:rsidR="00792C04" w:rsidRPr="00C02422" w:rsidRDefault="00C02422" w:rsidP="00C02422">
            <w:pPr>
              <w:pStyle w:val="ListParagraph"/>
              <w:numPr>
                <w:ilvl w:val="0"/>
                <w:numId w:val="38"/>
              </w:numPr>
              <w:rPr>
                <w:rFonts w:ascii="Arial" w:hAnsi="Arial" w:cs="Arial"/>
                <w:sz w:val="20"/>
                <w:szCs w:val="20"/>
              </w:rPr>
            </w:pPr>
            <w:r w:rsidRPr="00C02422">
              <w:rPr>
                <w:rFonts w:ascii="Arial" w:hAnsi="Arial" w:cs="Arial"/>
                <w:sz w:val="20"/>
                <w:szCs w:val="20"/>
              </w:rPr>
              <w:t>Fairness</w:t>
            </w:r>
            <w:r w:rsidR="00792C04" w:rsidRPr="00C02422">
              <w:rPr>
                <w:rFonts w:ascii="Arial" w:hAnsi="Arial" w:cs="Arial"/>
                <w:sz w:val="20"/>
                <w:szCs w:val="20"/>
              </w:rPr>
              <w:t xml:space="preserve">. </w:t>
            </w:r>
          </w:p>
          <w:p w14:paraId="19E21CDA" w14:textId="77777777" w:rsidR="00F2736F" w:rsidRPr="00C02422" w:rsidRDefault="00F2736F" w:rsidP="00C02422">
            <w:pPr>
              <w:pStyle w:val="ListParagraph"/>
              <w:rPr>
                <w:rFonts w:ascii="Arial" w:eastAsia="Calibri" w:hAnsi="Arial" w:cs="Arial"/>
                <w:sz w:val="20"/>
                <w:szCs w:val="20"/>
              </w:rPr>
            </w:pPr>
          </w:p>
        </w:tc>
      </w:tr>
      <w:tr w:rsidR="00792C04" w:rsidRPr="00C02422" w14:paraId="7FBA1E70" w14:textId="77777777" w:rsidTr="00361A90">
        <w:trPr>
          <w:trHeight w:val="569"/>
        </w:trPr>
        <w:tc>
          <w:tcPr>
            <w:tcW w:w="12950" w:type="dxa"/>
            <w:gridSpan w:val="3"/>
          </w:tcPr>
          <w:p w14:paraId="5C2895E3" w14:textId="77777777" w:rsidR="00792C04" w:rsidRPr="00C02422" w:rsidRDefault="00792C04" w:rsidP="00C02422">
            <w:pPr>
              <w:rPr>
                <w:rFonts w:ascii="Arial" w:hAnsi="Arial" w:cs="Arial"/>
                <w:sz w:val="20"/>
                <w:szCs w:val="20"/>
              </w:rPr>
            </w:pPr>
            <w:r w:rsidRPr="00C02422">
              <w:rPr>
                <w:rFonts w:ascii="Arial" w:hAnsi="Arial" w:cs="Arial"/>
                <w:sz w:val="20"/>
                <w:szCs w:val="20"/>
              </w:rPr>
              <w:t>Evidence may be supplied by:</w:t>
            </w:r>
          </w:p>
          <w:p w14:paraId="1C0B1051" w14:textId="77777777" w:rsidR="00792C04" w:rsidRPr="00C02422" w:rsidRDefault="00C02422" w:rsidP="00C02422">
            <w:pPr>
              <w:pStyle w:val="Default"/>
              <w:numPr>
                <w:ilvl w:val="0"/>
                <w:numId w:val="36"/>
              </w:numPr>
              <w:rPr>
                <w:rFonts w:ascii="Arial" w:hAnsi="Arial" w:cs="Arial"/>
                <w:color w:val="auto"/>
                <w:sz w:val="20"/>
                <w:szCs w:val="20"/>
              </w:rPr>
            </w:pPr>
            <w:r w:rsidRPr="00C02422">
              <w:rPr>
                <w:rFonts w:ascii="Arial" w:hAnsi="Arial" w:cs="Arial"/>
                <w:color w:val="auto"/>
                <w:sz w:val="20"/>
                <w:szCs w:val="20"/>
              </w:rPr>
              <w:t>Observation</w:t>
            </w:r>
          </w:p>
          <w:p w14:paraId="6F7DA7A6" w14:textId="77777777" w:rsidR="00792C04" w:rsidRPr="00C02422" w:rsidRDefault="00C02422" w:rsidP="00C02422">
            <w:pPr>
              <w:pStyle w:val="Default"/>
              <w:numPr>
                <w:ilvl w:val="0"/>
                <w:numId w:val="36"/>
              </w:numPr>
              <w:rPr>
                <w:rFonts w:ascii="Arial" w:hAnsi="Arial" w:cs="Arial"/>
                <w:color w:val="auto"/>
                <w:sz w:val="20"/>
                <w:szCs w:val="20"/>
              </w:rPr>
            </w:pPr>
            <w:r w:rsidRPr="00C02422">
              <w:rPr>
                <w:rFonts w:ascii="Arial" w:hAnsi="Arial" w:cs="Arial"/>
                <w:color w:val="auto"/>
                <w:sz w:val="20"/>
                <w:szCs w:val="20"/>
              </w:rPr>
              <w:t>Witness</w:t>
            </w:r>
            <w:r w:rsidR="00792C04" w:rsidRPr="00C02422">
              <w:rPr>
                <w:rFonts w:ascii="Arial" w:hAnsi="Arial" w:cs="Arial"/>
                <w:color w:val="auto"/>
                <w:sz w:val="20"/>
                <w:szCs w:val="20"/>
              </w:rPr>
              <w:t xml:space="preserve"> testimony</w:t>
            </w:r>
          </w:p>
          <w:p w14:paraId="42957C4C" w14:textId="77777777" w:rsidR="00792C04" w:rsidRPr="00C02422" w:rsidRDefault="00C02422" w:rsidP="00C02422">
            <w:pPr>
              <w:pStyle w:val="Default"/>
              <w:numPr>
                <w:ilvl w:val="0"/>
                <w:numId w:val="36"/>
              </w:numPr>
              <w:rPr>
                <w:rFonts w:ascii="Arial" w:hAnsi="Arial" w:cs="Arial"/>
                <w:color w:val="auto"/>
                <w:sz w:val="20"/>
                <w:szCs w:val="20"/>
              </w:rPr>
            </w:pPr>
            <w:r w:rsidRPr="00C02422">
              <w:rPr>
                <w:rFonts w:ascii="Arial" w:hAnsi="Arial" w:cs="Arial"/>
                <w:color w:val="auto"/>
                <w:sz w:val="20"/>
                <w:szCs w:val="20"/>
              </w:rPr>
              <w:t>Customer</w:t>
            </w:r>
            <w:r w:rsidR="00792C04" w:rsidRPr="00C02422">
              <w:rPr>
                <w:rFonts w:ascii="Arial" w:hAnsi="Arial" w:cs="Arial"/>
                <w:color w:val="auto"/>
                <w:sz w:val="20"/>
                <w:szCs w:val="20"/>
              </w:rPr>
              <w:t xml:space="preserve"> records*</w:t>
            </w:r>
          </w:p>
          <w:p w14:paraId="7BCE4626" w14:textId="77777777" w:rsidR="00792C04" w:rsidRPr="00C02422" w:rsidRDefault="00C02422" w:rsidP="00C02422">
            <w:pPr>
              <w:pStyle w:val="Default"/>
              <w:numPr>
                <w:ilvl w:val="0"/>
                <w:numId w:val="36"/>
              </w:numPr>
              <w:rPr>
                <w:rFonts w:ascii="Arial" w:hAnsi="Arial" w:cs="Arial"/>
                <w:color w:val="auto"/>
                <w:sz w:val="20"/>
                <w:szCs w:val="20"/>
              </w:rPr>
            </w:pPr>
            <w:r w:rsidRPr="00C02422">
              <w:rPr>
                <w:rFonts w:ascii="Arial" w:hAnsi="Arial" w:cs="Arial"/>
                <w:color w:val="auto"/>
                <w:sz w:val="20"/>
                <w:szCs w:val="20"/>
              </w:rPr>
              <w:t>Professional</w:t>
            </w:r>
            <w:r w:rsidR="00792C04" w:rsidRPr="00C02422">
              <w:rPr>
                <w:rFonts w:ascii="Arial" w:hAnsi="Arial" w:cs="Arial"/>
                <w:color w:val="auto"/>
                <w:sz w:val="20"/>
                <w:szCs w:val="20"/>
              </w:rPr>
              <w:t xml:space="preserve"> discussion</w:t>
            </w:r>
          </w:p>
          <w:p w14:paraId="33661824" w14:textId="77777777" w:rsidR="00792C04" w:rsidRPr="00C02422" w:rsidRDefault="00C02422" w:rsidP="00C02422">
            <w:pPr>
              <w:pStyle w:val="Default"/>
              <w:numPr>
                <w:ilvl w:val="0"/>
                <w:numId w:val="36"/>
              </w:numPr>
              <w:rPr>
                <w:rFonts w:ascii="Arial" w:hAnsi="Arial" w:cs="Arial"/>
                <w:color w:val="auto"/>
                <w:sz w:val="20"/>
                <w:szCs w:val="20"/>
              </w:rPr>
            </w:pPr>
            <w:r w:rsidRPr="00C02422">
              <w:rPr>
                <w:rFonts w:ascii="Arial" w:hAnsi="Arial" w:cs="Arial"/>
                <w:color w:val="auto"/>
                <w:sz w:val="20"/>
                <w:szCs w:val="20"/>
              </w:rPr>
              <w:t>Questioning</w:t>
            </w:r>
          </w:p>
          <w:p w14:paraId="6EB8EC20" w14:textId="77777777" w:rsidR="00792C04" w:rsidRPr="00C02422" w:rsidRDefault="00C02422" w:rsidP="00C02422">
            <w:pPr>
              <w:pStyle w:val="Default"/>
              <w:numPr>
                <w:ilvl w:val="0"/>
                <w:numId w:val="36"/>
              </w:numPr>
              <w:rPr>
                <w:rFonts w:ascii="Arial" w:hAnsi="Arial" w:cs="Arial"/>
                <w:color w:val="auto"/>
                <w:sz w:val="20"/>
                <w:szCs w:val="20"/>
              </w:rPr>
            </w:pPr>
            <w:r w:rsidRPr="00C02422">
              <w:rPr>
                <w:rFonts w:ascii="Arial" w:hAnsi="Arial" w:cs="Arial"/>
                <w:color w:val="auto"/>
                <w:sz w:val="20"/>
                <w:szCs w:val="20"/>
              </w:rPr>
              <w:t>Reflective</w:t>
            </w:r>
            <w:r w:rsidR="00792C04" w:rsidRPr="00C02422">
              <w:rPr>
                <w:rFonts w:ascii="Arial" w:hAnsi="Arial" w:cs="Arial"/>
                <w:color w:val="auto"/>
                <w:sz w:val="20"/>
                <w:szCs w:val="20"/>
              </w:rPr>
              <w:t xml:space="preserve"> account </w:t>
            </w:r>
          </w:p>
          <w:p w14:paraId="474779AA" w14:textId="77777777" w:rsidR="00792C04" w:rsidRPr="00C02422" w:rsidRDefault="00C02422" w:rsidP="00C02422">
            <w:pPr>
              <w:pStyle w:val="Default"/>
              <w:numPr>
                <w:ilvl w:val="0"/>
                <w:numId w:val="36"/>
              </w:numPr>
              <w:rPr>
                <w:rFonts w:ascii="Arial" w:hAnsi="Arial" w:cs="Arial"/>
                <w:color w:val="auto"/>
                <w:sz w:val="20"/>
                <w:szCs w:val="20"/>
              </w:rPr>
            </w:pPr>
            <w:r w:rsidRPr="00C02422">
              <w:rPr>
                <w:rFonts w:ascii="Arial" w:hAnsi="Arial" w:cs="Arial"/>
                <w:color w:val="auto"/>
                <w:sz w:val="20"/>
                <w:szCs w:val="20"/>
              </w:rPr>
              <w:t>Organisational</w:t>
            </w:r>
            <w:r w:rsidR="00792C04" w:rsidRPr="00C02422">
              <w:rPr>
                <w:rFonts w:ascii="Arial" w:hAnsi="Arial" w:cs="Arial"/>
                <w:color w:val="auto"/>
                <w:sz w:val="20"/>
                <w:szCs w:val="20"/>
              </w:rPr>
              <w:t xml:space="preserve"> policies and procedures*</w:t>
            </w:r>
          </w:p>
          <w:p w14:paraId="1C135A48" w14:textId="77777777" w:rsidR="00792C04" w:rsidRPr="00C02422" w:rsidRDefault="00C02422" w:rsidP="00C02422">
            <w:pPr>
              <w:pStyle w:val="Default"/>
              <w:numPr>
                <w:ilvl w:val="0"/>
                <w:numId w:val="36"/>
              </w:numPr>
              <w:rPr>
                <w:rFonts w:ascii="Arial" w:hAnsi="Arial" w:cs="Arial"/>
                <w:color w:val="auto"/>
                <w:sz w:val="20"/>
                <w:szCs w:val="20"/>
              </w:rPr>
            </w:pPr>
            <w:r w:rsidRPr="00C02422">
              <w:rPr>
                <w:rFonts w:ascii="Arial" w:hAnsi="Arial" w:cs="Arial"/>
                <w:color w:val="auto"/>
                <w:sz w:val="20"/>
                <w:szCs w:val="20"/>
              </w:rPr>
              <w:t>Knowledge</w:t>
            </w:r>
            <w:r w:rsidR="00792C04" w:rsidRPr="00C02422">
              <w:rPr>
                <w:rFonts w:ascii="Arial" w:hAnsi="Arial" w:cs="Arial"/>
                <w:color w:val="auto"/>
                <w:sz w:val="20"/>
                <w:szCs w:val="20"/>
              </w:rPr>
              <w:t xml:space="preserve"> base content* </w:t>
            </w:r>
          </w:p>
          <w:p w14:paraId="2D7B48BC" w14:textId="77777777" w:rsidR="00792C04" w:rsidRPr="00C02422" w:rsidRDefault="00C02422" w:rsidP="00C02422">
            <w:pPr>
              <w:pStyle w:val="Default"/>
              <w:numPr>
                <w:ilvl w:val="0"/>
                <w:numId w:val="36"/>
              </w:numPr>
              <w:rPr>
                <w:rFonts w:ascii="Arial" w:hAnsi="Arial" w:cs="Arial"/>
                <w:color w:val="auto"/>
                <w:sz w:val="20"/>
                <w:szCs w:val="20"/>
              </w:rPr>
            </w:pPr>
            <w:r w:rsidRPr="00C02422">
              <w:rPr>
                <w:rFonts w:ascii="Arial" w:hAnsi="Arial" w:cs="Arial"/>
                <w:color w:val="auto"/>
                <w:sz w:val="20"/>
                <w:szCs w:val="20"/>
              </w:rPr>
              <w:t>Service</w:t>
            </w:r>
            <w:r w:rsidR="00792C04" w:rsidRPr="00C02422">
              <w:rPr>
                <w:rFonts w:ascii="Arial" w:hAnsi="Arial" w:cs="Arial"/>
                <w:color w:val="auto"/>
                <w:sz w:val="20"/>
                <w:szCs w:val="20"/>
              </w:rPr>
              <w:t xml:space="preserve"> offer*</w:t>
            </w:r>
          </w:p>
          <w:p w14:paraId="6DA22032" w14:textId="77777777" w:rsidR="00792C04" w:rsidRPr="00C02422" w:rsidRDefault="00C02422" w:rsidP="00C02422">
            <w:pPr>
              <w:pStyle w:val="ListParagraph"/>
              <w:numPr>
                <w:ilvl w:val="0"/>
                <w:numId w:val="36"/>
              </w:numPr>
              <w:rPr>
                <w:rFonts w:ascii="Arial" w:hAnsi="Arial" w:cs="Arial"/>
                <w:sz w:val="20"/>
                <w:szCs w:val="20"/>
              </w:rPr>
            </w:pPr>
            <w:r w:rsidRPr="00C02422">
              <w:rPr>
                <w:rFonts w:ascii="Arial" w:hAnsi="Arial" w:cs="Arial"/>
                <w:sz w:val="20"/>
                <w:szCs w:val="20"/>
              </w:rPr>
              <w:t>Refund</w:t>
            </w:r>
            <w:r w:rsidR="00792C04" w:rsidRPr="00C02422">
              <w:rPr>
                <w:rFonts w:ascii="Arial" w:hAnsi="Arial" w:cs="Arial"/>
                <w:sz w:val="20"/>
                <w:szCs w:val="20"/>
              </w:rPr>
              <w:t xml:space="preserve"> policy*</w:t>
            </w:r>
          </w:p>
        </w:tc>
      </w:tr>
    </w:tbl>
    <w:p w14:paraId="222EADB1" w14:textId="77777777" w:rsidR="00E93C49" w:rsidRPr="00C02422" w:rsidRDefault="00E93C49" w:rsidP="00C02422">
      <w:pPr>
        <w:spacing w:after="0" w:line="240" w:lineRule="auto"/>
        <w:rPr>
          <w:rFonts w:ascii="Arial" w:hAnsi="Arial" w:cs="Arial"/>
          <w:sz w:val="20"/>
          <w:szCs w:val="20"/>
        </w:rPr>
      </w:pPr>
    </w:p>
    <w:p w14:paraId="73CA34A4" w14:textId="599C1F0B" w:rsidR="00A520E4" w:rsidRPr="00045FF8" w:rsidRDefault="00F83B2F" w:rsidP="00F83B2F">
      <w:pPr>
        <w:spacing w:after="0" w:line="240" w:lineRule="auto"/>
        <w:rPr>
          <w:rFonts w:ascii="Arial" w:hAnsi="Arial" w:cs="Arial"/>
          <w:sz w:val="20"/>
          <w:szCs w:val="20"/>
        </w:rPr>
      </w:pPr>
      <w:r w:rsidRPr="006B567B">
        <w:rPr>
          <w:rFonts w:ascii="Arial" w:hAnsi="Arial" w:cs="Arial"/>
          <w:sz w:val="20"/>
          <w:szCs w:val="20"/>
        </w:rPr>
        <w:t xml:space="preserve"> *Internal/organisational documentation need not be held in the candidate’s portfolio but held in the workplace with reference made to where it can be found and its relevance to the criteria.  </w:t>
      </w:r>
    </w:p>
    <w:sectPr w:rsidR="00A520E4" w:rsidRPr="00045FF8" w:rsidSect="002B0E81">
      <w:headerReference w:type="default" r:id="rId10"/>
      <w:footerReference w:type="default" r:id="rId11"/>
      <w:pgSz w:w="15840" w:h="12240" w:orient="landscape"/>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23D5B" w14:textId="77777777" w:rsidR="00370C70" w:rsidRDefault="00370C70" w:rsidP="00FE3E21">
      <w:pPr>
        <w:spacing w:after="0" w:line="240" w:lineRule="auto"/>
      </w:pPr>
      <w:r>
        <w:separator/>
      </w:r>
    </w:p>
  </w:endnote>
  <w:endnote w:type="continuationSeparator" w:id="0">
    <w:p w14:paraId="1048F7CA" w14:textId="77777777" w:rsidR="00370C70" w:rsidRDefault="00370C70" w:rsidP="00FE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ngressSans">
    <w:charset w:val="00"/>
    <w:family w:val="swiss"/>
    <w:pitch w:val="variable"/>
    <w:sig w:usb0="800000AF" w:usb1="4000004A"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689621"/>
      <w:docPartObj>
        <w:docPartGallery w:val="Page Numbers (Bottom of Page)"/>
        <w:docPartUnique/>
      </w:docPartObj>
    </w:sdtPr>
    <w:sdtEndPr>
      <w:rPr>
        <w:noProof/>
      </w:rPr>
    </w:sdtEndPr>
    <w:sdtContent>
      <w:p w14:paraId="1D804810" w14:textId="77777777" w:rsidR="002B0E81" w:rsidRPr="00B811FE" w:rsidRDefault="002B0E81" w:rsidP="002B0E81">
        <w:pPr>
          <w:pStyle w:val="Footer"/>
          <w:rPr>
            <w:rFonts w:ascii="Arial" w:hAnsi="Arial" w:cs="Arial"/>
            <w:sz w:val="20"/>
            <w:szCs w:val="20"/>
          </w:rPr>
        </w:pPr>
        <w:r w:rsidRPr="00B811FE">
          <w:rPr>
            <w:rFonts w:ascii="Arial" w:hAnsi="Arial" w:cs="Arial"/>
            <w:sz w:val="20"/>
            <w:szCs w:val="20"/>
          </w:rPr>
          <w:t>Awarded by City &amp; Guilds.</w:t>
        </w:r>
      </w:p>
      <w:p w14:paraId="5D59621B" w14:textId="77777777" w:rsidR="002B0E81" w:rsidRPr="00B811FE" w:rsidRDefault="002B0E81" w:rsidP="002B0E81">
        <w:pPr>
          <w:pStyle w:val="Footer"/>
          <w:rPr>
            <w:rFonts w:ascii="Arial" w:hAnsi="Arial" w:cs="Arial"/>
            <w:sz w:val="20"/>
            <w:szCs w:val="20"/>
          </w:rPr>
        </w:pPr>
        <w:r w:rsidRPr="005C0C34">
          <w:rPr>
            <w:rFonts w:ascii="Arial" w:hAnsi="Arial" w:cs="Arial"/>
            <w:sz w:val="20"/>
            <w:szCs w:val="20"/>
          </w:rPr>
          <w:t xml:space="preserve">CS 31 </w:t>
        </w:r>
        <w:r>
          <w:rPr>
            <w:rFonts w:ascii="Arial" w:hAnsi="Arial" w:cs="Arial"/>
            <w:sz w:val="20"/>
            <w:szCs w:val="20"/>
          </w:rPr>
          <w:t>Resolve customer’s complaints</w:t>
        </w:r>
      </w:p>
      <w:p w14:paraId="49158CE9" w14:textId="77777777" w:rsidR="002B0E81" w:rsidRPr="00B811FE" w:rsidRDefault="002B0E81" w:rsidP="002B0E81">
        <w:pPr>
          <w:pStyle w:val="Footer"/>
          <w:tabs>
            <w:tab w:val="clear" w:pos="9026"/>
            <w:tab w:val="right" w:pos="12900"/>
          </w:tabs>
          <w:rPr>
            <w:rFonts w:ascii="Arial" w:hAnsi="Arial" w:cs="Arial"/>
            <w:sz w:val="20"/>
            <w:szCs w:val="20"/>
          </w:rPr>
        </w:pPr>
        <w:r>
          <w:rPr>
            <w:rFonts w:ascii="Arial" w:hAnsi="Arial" w:cs="Arial"/>
            <w:sz w:val="20"/>
            <w:szCs w:val="20"/>
          </w:rPr>
          <w:t>Version 1.0 (March 2017</w:t>
        </w:r>
        <w:r w:rsidRPr="00B811FE">
          <w:rPr>
            <w:rFonts w:ascii="Arial" w:hAnsi="Arial" w:cs="Arial"/>
            <w:sz w:val="20"/>
            <w:szCs w:val="20"/>
          </w:rPr>
          <w:t>)</w:t>
        </w:r>
        <w:r w:rsidRPr="00B811FE">
          <w:rPr>
            <w:rFonts w:ascii="Arial" w:hAnsi="Arial" w:cs="Arial"/>
            <w:sz w:val="20"/>
            <w:szCs w:val="20"/>
          </w:rPr>
          <w:tab/>
        </w:r>
        <w:r w:rsidRPr="00B811FE">
          <w:rPr>
            <w:rFonts w:ascii="Arial" w:hAnsi="Arial" w:cs="Arial"/>
            <w:sz w:val="20"/>
            <w:szCs w:val="20"/>
          </w:rPr>
          <w:tab/>
        </w:r>
        <w:sdt>
          <w:sdtPr>
            <w:rPr>
              <w:rFonts w:ascii="Arial" w:hAnsi="Arial" w:cs="Arial"/>
              <w:sz w:val="20"/>
              <w:szCs w:val="20"/>
            </w:rPr>
            <w:id w:val="-984851870"/>
            <w:docPartObj>
              <w:docPartGallery w:val="Page Numbers (Bottom of Page)"/>
              <w:docPartUnique/>
            </w:docPartObj>
          </w:sdtPr>
          <w:sdtEndPr>
            <w:rPr>
              <w:noProof/>
            </w:rPr>
          </w:sdtEndPr>
          <w:sdtContent>
            <w:r w:rsidRPr="00B811FE">
              <w:rPr>
                <w:rFonts w:ascii="Arial" w:hAnsi="Arial" w:cs="Arial"/>
                <w:sz w:val="20"/>
                <w:szCs w:val="20"/>
              </w:rPr>
              <w:fldChar w:fldCharType="begin"/>
            </w:r>
            <w:r w:rsidRPr="00B811FE">
              <w:rPr>
                <w:rFonts w:ascii="Arial" w:hAnsi="Arial" w:cs="Arial"/>
                <w:sz w:val="20"/>
                <w:szCs w:val="20"/>
              </w:rPr>
              <w:instrText xml:space="preserve"> PAGE   \* MERGEFORMAT </w:instrText>
            </w:r>
            <w:r w:rsidRPr="00B811FE">
              <w:rPr>
                <w:rFonts w:ascii="Arial" w:hAnsi="Arial" w:cs="Arial"/>
                <w:sz w:val="20"/>
                <w:szCs w:val="20"/>
              </w:rPr>
              <w:fldChar w:fldCharType="separate"/>
            </w:r>
            <w:r>
              <w:rPr>
                <w:rFonts w:ascii="Arial" w:hAnsi="Arial" w:cs="Arial"/>
                <w:noProof/>
                <w:sz w:val="20"/>
                <w:szCs w:val="20"/>
              </w:rPr>
              <w:t>1</w:t>
            </w:r>
            <w:r w:rsidRPr="00B811FE">
              <w:rPr>
                <w:rFonts w:ascii="Arial" w:hAnsi="Arial" w:cs="Arial"/>
                <w:noProof/>
                <w:sz w:val="20"/>
                <w:szCs w:val="20"/>
              </w:rPr>
              <w:fldChar w:fldCharType="end"/>
            </w:r>
          </w:sdtContent>
        </w:sdt>
      </w:p>
      <w:p w14:paraId="4BF10893" w14:textId="2874A23A" w:rsidR="00370C70" w:rsidRDefault="002B0E81" w:rsidP="002B0E81">
        <w:pPr>
          <w:pStyle w:val="Footer"/>
        </w:pPr>
      </w:p>
    </w:sdtContent>
  </w:sdt>
  <w:p w14:paraId="78E2D5D3" w14:textId="77777777" w:rsidR="00370C70" w:rsidRDefault="00370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27383" w14:textId="77777777" w:rsidR="00370C70" w:rsidRDefault="00370C70" w:rsidP="00FE3E21">
      <w:pPr>
        <w:spacing w:after="0" w:line="240" w:lineRule="auto"/>
      </w:pPr>
      <w:r>
        <w:separator/>
      </w:r>
    </w:p>
  </w:footnote>
  <w:footnote w:type="continuationSeparator" w:id="0">
    <w:p w14:paraId="18936CE2" w14:textId="77777777" w:rsidR="00370C70" w:rsidRDefault="00370C70" w:rsidP="00FE3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166A2" w14:textId="5F229D80" w:rsidR="002B0E81" w:rsidRDefault="002B0E81">
    <w:pPr>
      <w:pStyle w:val="Header"/>
    </w:pPr>
    <w:r>
      <w:rPr>
        <w:noProof/>
        <w:lang w:eastAsia="en-GB"/>
      </w:rPr>
      <w:drawing>
        <wp:anchor distT="0" distB="0" distL="114300" distR="114300" simplePos="0" relativeHeight="251659264" behindDoc="0" locked="0" layoutInCell="1" allowOverlap="1" wp14:anchorId="4E012169" wp14:editId="7155A719">
          <wp:simplePos x="0" y="0"/>
          <wp:positionH relativeFrom="column">
            <wp:posOffset>7141029</wp:posOffset>
          </wp:positionH>
          <wp:positionV relativeFrom="paragraph">
            <wp:posOffset>-402953</wp:posOffset>
          </wp:positionV>
          <wp:extent cx="1018540" cy="726440"/>
          <wp:effectExtent l="0" t="0" r="0" b="0"/>
          <wp:wrapTopAndBottom/>
          <wp:docPr id="2" name="Picture 2"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6243E"/>
    <w:multiLevelType w:val="hybridMultilevel"/>
    <w:tmpl w:val="D854AE9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00D40"/>
    <w:multiLevelType w:val="hybridMultilevel"/>
    <w:tmpl w:val="2B0A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60BFF"/>
    <w:multiLevelType w:val="hybridMultilevel"/>
    <w:tmpl w:val="CE86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736C1"/>
    <w:multiLevelType w:val="hybridMultilevel"/>
    <w:tmpl w:val="7F8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84824"/>
    <w:multiLevelType w:val="hybridMultilevel"/>
    <w:tmpl w:val="485094C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15559D"/>
    <w:multiLevelType w:val="hybridMultilevel"/>
    <w:tmpl w:val="84CC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70BB6"/>
    <w:multiLevelType w:val="hybridMultilevel"/>
    <w:tmpl w:val="0DA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32A4F"/>
    <w:multiLevelType w:val="hybridMultilevel"/>
    <w:tmpl w:val="AC22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D2638"/>
    <w:multiLevelType w:val="multilevel"/>
    <w:tmpl w:val="E4424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15849"/>
    <w:multiLevelType w:val="hybridMultilevel"/>
    <w:tmpl w:val="1FA4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B217B"/>
    <w:multiLevelType w:val="hybridMultilevel"/>
    <w:tmpl w:val="5696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32A13"/>
    <w:multiLevelType w:val="hybridMultilevel"/>
    <w:tmpl w:val="9A48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D786E"/>
    <w:multiLevelType w:val="multilevel"/>
    <w:tmpl w:val="B46887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21533D"/>
    <w:multiLevelType w:val="hybridMultilevel"/>
    <w:tmpl w:val="C074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57787"/>
    <w:multiLevelType w:val="hybridMultilevel"/>
    <w:tmpl w:val="826C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281757"/>
    <w:multiLevelType w:val="hybridMultilevel"/>
    <w:tmpl w:val="55AE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F523B0"/>
    <w:multiLevelType w:val="hybridMultilevel"/>
    <w:tmpl w:val="BFCA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C4327"/>
    <w:multiLevelType w:val="hybridMultilevel"/>
    <w:tmpl w:val="D4BA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55C9C"/>
    <w:multiLevelType w:val="hybridMultilevel"/>
    <w:tmpl w:val="4C5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557D04"/>
    <w:multiLevelType w:val="hybridMultilevel"/>
    <w:tmpl w:val="D0CA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E2ADD"/>
    <w:multiLevelType w:val="hybridMultilevel"/>
    <w:tmpl w:val="DE14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822441"/>
    <w:multiLevelType w:val="hybridMultilevel"/>
    <w:tmpl w:val="F2B8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21937"/>
    <w:multiLevelType w:val="hybridMultilevel"/>
    <w:tmpl w:val="B12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C365D"/>
    <w:multiLevelType w:val="hybridMultilevel"/>
    <w:tmpl w:val="97BE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B474F4"/>
    <w:multiLevelType w:val="multilevel"/>
    <w:tmpl w:val="F6FCB8EA"/>
    <w:lvl w:ilvl="0">
      <w:start w:val="1"/>
      <w:numFmt w:val="decimal"/>
      <w:lvlText w:val="%1."/>
      <w:lvlJc w:val="left"/>
      <w:pPr>
        <w:ind w:left="360" w:hanging="360"/>
      </w:pPr>
      <w:rPr>
        <w:rFonts w:ascii="Calibri" w:eastAsia="Calibri" w:hAnsi="Calibri"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6F001759"/>
    <w:multiLevelType w:val="multilevel"/>
    <w:tmpl w:val="E3106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5774F0"/>
    <w:multiLevelType w:val="hybridMultilevel"/>
    <w:tmpl w:val="DB7A58D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51E4F62"/>
    <w:multiLevelType w:val="hybridMultilevel"/>
    <w:tmpl w:val="2B84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C5105"/>
    <w:multiLevelType w:val="hybridMultilevel"/>
    <w:tmpl w:val="F940D662"/>
    <w:lvl w:ilvl="0" w:tplc="52841C4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3"/>
  </w:num>
  <w:num w:numId="3">
    <w:abstractNumId w:val="10"/>
  </w:num>
  <w:num w:numId="4">
    <w:abstractNumId w:val="24"/>
  </w:num>
  <w:num w:numId="5">
    <w:abstractNumId w:val="0"/>
  </w:num>
  <w:num w:numId="6">
    <w:abstractNumId w:val="30"/>
  </w:num>
  <w:num w:numId="7">
    <w:abstractNumId w:val="36"/>
  </w:num>
  <w:num w:numId="8">
    <w:abstractNumId w:val="37"/>
  </w:num>
  <w:num w:numId="9">
    <w:abstractNumId w:val="12"/>
  </w:num>
  <w:num w:numId="10">
    <w:abstractNumId w:val="14"/>
  </w:num>
  <w:num w:numId="11">
    <w:abstractNumId w:val="23"/>
  </w:num>
  <w:num w:numId="12">
    <w:abstractNumId w:val="35"/>
  </w:num>
  <w:num w:numId="13">
    <w:abstractNumId w:val="27"/>
  </w:num>
  <w:num w:numId="14">
    <w:abstractNumId w:val="20"/>
  </w:num>
  <w:num w:numId="15">
    <w:abstractNumId w:val="13"/>
  </w:num>
  <w:num w:numId="16">
    <w:abstractNumId w:val="28"/>
  </w:num>
  <w:num w:numId="17">
    <w:abstractNumId w:val="25"/>
  </w:num>
  <w:num w:numId="18">
    <w:abstractNumId w:val="7"/>
  </w:num>
  <w:num w:numId="19">
    <w:abstractNumId w:val="5"/>
  </w:num>
  <w:num w:numId="20">
    <w:abstractNumId w:val="26"/>
  </w:num>
  <w:num w:numId="21">
    <w:abstractNumId w:val="31"/>
  </w:num>
  <w:num w:numId="22">
    <w:abstractNumId w:val="2"/>
  </w:num>
  <w:num w:numId="23">
    <w:abstractNumId w:val="15"/>
  </w:num>
  <w:num w:numId="24">
    <w:abstractNumId w:val="8"/>
  </w:num>
  <w:num w:numId="25">
    <w:abstractNumId w:val="11"/>
  </w:num>
  <w:num w:numId="26">
    <w:abstractNumId w:val="32"/>
  </w:num>
  <w:num w:numId="27">
    <w:abstractNumId w:val="38"/>
  </w:num>
  <w:num w:numId="28">
    <w:abstractNumId w:val="17"/>
  </w:num>
  <w:num w:numId="29">
    <w:abstractNumId w:val="1"/>
  </w:num>
  <w:num w:numId="30">
    <w:abstractNumId w:val="6"/>
  </w:num>
  <w:num w:numId="31">
    <w:abstractNumId w:val="33"/>
  </w:num>
  <w:num w:numId="32">
    <w:abstractNumId w:val="16"/>
  </w:num>
  <w:num w:numId="33">
    <w:abstractNumId w:val="9"/>
  </w:num>
  <w:num w:numId="34">
    <w:abstractNumId w:val="21"/>
  </w:num>
  <w:num w:numId="35">
    <w:abstractNumId w:val="34"/>
  </w:num>
  <w:num w:numId="36">
    <w:abstractNumId w:val="18"/>
  </w:num>
  <w:num w:numId="37">
    <w:abstractNumId w:val="4"/>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D1"/>
    <w:rsid w:val="00036268"/>
    <w:rsid w:val="00040ACD"/>
    <w:rsid w:val="00045FF8"/>
    <w:rsid w:val="000679D6"/>
    <w:rsid w:val="000B0F8B"/>
    <w:rsid w:val="000C0BC8"/>
    <w:rsid w:val="00105DB6"/>
    <w:rsid w:val="001229ED"/>
    <w:rsid w:val="001366CA"/>
    <w:rsid w:val="001E4B59"/>
    <w:rsid w:val="001F3E57"/>
    <w:rsid w:val="002339B8"/>
    <w:rsid w:val="0026067E"/>
    <w:rsid w:val="00264190"/>
    <w:rsid w:val="00282FDE"/>
    <w:rsid w:val="002B0E81"/>
    <w:rsid w:val="00370C70"/>
    <w:rsid w:val="00372F76"/>
    <w:rsid w:val="003F1708"/>
    <w:rsid w:val="0047747A"/>
    <w:rsid w:val="005554B9"/>
    <w:rsid w:val="00566D62"/>
    <w:rsid w:val="00573E12"/>
    <w:rsid w:val="00583E5F"/>
    <w:rsid w:val="00662041"/>
    <w:rsid w:val="006C799A"/>
    <w:rsid w:val="006D6734"/>
    <w:rsid w:val="006F7BFF"/>
    <w:rsid w:val="00792C04"/>
    <w:rsid w:val="007B0FA8"/>
    <w:rsid w:val="007D3F43"/>
    <w:rsid w:val="008873B3"/>
    <w:rsid w:val="00943110"/>
    <w:rsid w:val="009752BF"/>
    <w:rsid w:val="009E02C3"/>
    <w:rsid w:val="009E0C83"/>
    <w:rsid w:val="00A04CA0"/>
    <w:rsid w:val="00A31B17"/>
    <w:rsid w:val="00A520E4"/>
    <w:rsid w:val="00A62E79"/>
    <w:rsid w:val="00A87424"/>
    <w:rsid w:val="00AD10C4"/>
    <w:rsid w:val="00B03981"/>
    <w:rsid w:val="00B362D1"/>
    <w:rsid w:val="00B51EDB"/>
    <w:rsid w:val="00BA3A25"/>
    <w:rsid w:val="00C02422"/>
    <w:rsid w:val="00C1330C"/>
    <w:rsid w:val="00C153EF"/>
    <w:rsid w:val="00C7707E"/>
    <w:rsid w:val="00C83C35"/>
    <w:rsid w:val="00D7135B"/>
    <w:rsid w:val="00DA24F8"/>
    <w:rsid w:val="00DC4B2B"/>
    <w:rsid w:val="00DD30A4"/>
    <w:rsid w:val="00DE2EC8"/>
    <w:rsid w:val="00E744A2"/>
    <w:rsid w:val="00E936E7"/>
    <w:rsid w:val="00E93C49"/>
    <w:rsid w:val="00EB6180"/>
    <w:rsid w:val="00EC3447"/>
    <w:rsid w:val="00ED25CF"/>
    <w:rsid w:val="00F23EE3"/>
    <w:rsid w:val="00F2736F"/>
    <w:rsid w:val="00F65241"/>
    <w:rsid w:val="00F74503"/>
    <w:rsid w:val="00F83B2F"/>
    <w:rsid w:val="00F96859"/>
    <w:rsid w:val="00FA6B65"/>
    <w:rsid w:val="00FE3E21"/>
    <w:rsid w:val="00FE68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CB616"/>
  <w15:docId w15:val="{7C538FF7-E27D-4EEC-9693-86E7BD3E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2BF"/>
    <w:pPr>
      <w:ind w:left="720"/>
      <w:contextualSpacing/>
    </w:pPr>
  </w:style>
  <w:style w:type="paragraph" w:styleId="Header">
    <w:name w:val="header"/>
    <w:basedOn w:val="Normal"/>
    <w:link w:val="HeaderChar"/>
    <w:uiPriority w:val="99"/>
    <w:unhideWhenUsed/>
    <w:rsid w:val="00FE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E21"/>
  </w:style>
  <w:style w:type="paragraph" w:styleId="Footer">
    <w:name w:val="footer"/>
    <w:basedOn w:val="Normal"/>
    <w:link w:val="FooterChar"/>
    <w:uiPriority w:val="99"/>
    <w:unhideWhenUsed/>
    <w:rsid w:val="00FE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E21"/>
  </w:style>
  <w:style w:type="paragraph" w:customStyle="1" w:styleId="Default">
    <w:name w:val="Default"/>
    <w:rsid w:val="008873B3"/>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370C7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0C70"/>
    <w:rPr>
      <w:rFonts w:eastAsiaTheme="minorEastAsia"/>
      <w:color w:val="5A5A5A" w:themeColor="text1" w:themeTint="A5"/>
      <w:spacing w:val="15"/>
    </w:rPr>
  </w:style>
  <w:style w:type="paragraph" w:customStyle="1" w:styleId="H1FrontCover">
    <w:name w:val="H1 Front Cover"/>
    <w:basedOn w:val="Normal"/>
    <w:rsid w:val="00370C70"/>
    <w:pPr>
      <w:spacing w:after="240" w:line="240" w:lineRule="auto"/>
    </w:pPr>
    <w:rPr>
      <w:rFonts w:ascii="CongressSans" w:eastAsia="Times New Roman" w:hAnsi="CongressSans" w:cs="Times New Roman"/>
      <w:b/>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s>
    </j5a7449248d447e983365f9ccc7bf26f>
    <KpiDescription xmlns="http://schemas.microsoft.com/sharepoint/v3" xsi:nil="true"/>
    <TaxCatchAll xmlns="5f8ea682-3a42-454b-8035-422047e146b2">
      <Value>1333</Value>
      <Value>1418</Value>
      <Value>1000</Value>
      <Value>999</Value>
      <Value>998</Value>
      <Value>997</Value>
      <Value>996</Value>
      <Value>995</Value>
      <Value>992</Value>
      <Value>991</Value>
      <Value>990</Value>
      <Value>1358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8620-323</TermName>
          <TermId xmlns="http://schemas.microsoft.com/office/infopath/2007/PartnerControls">f777c4da-801d-464f-a4fb-256446d63a23</TermId>
        </TermInfo>
        <TermInfo xmlns="http://schemas.microsoft.com/office/infopath/2007/PartnerControls">
          <TermName xmlns="http://schemas.microsoft.com/office/infopath/2007/PartnerControls">8621-323</TermName>
          <TermId xmlns="http://schemas.microsoft.com/office/infopath/2007/PartnerControls">82027e84-5c78-4cc1-beee-26c3813fd4e2</TermId>
        </TermInfo>
        <TermInfo xmlns="http://schemas.microsoft.com/office/infopath/2007/PartnerControls">
          <TermName xmlns="http://schemas.microsoft.com/office/infopath/2007/PartnerControls">8622-323</TermName>
          <TermId xmlns="http://schemas.microsoft.com/office/infopath/2007/PartnerControls">9d2d324b-de5c-4aa4-875d-d9c611995818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B2FD3-D6C3-4015-BF31-50CEE0B932C9}"/>
</file>

<file path=customXml/itemProps2.xml><?xml version="1.0" encoding="utf-8"?>
<ds:datastoreItem xmlns:ds="http://schemas.openxmlformats.org/officeDocument/2006/customXml" ds:itemID="{E6DC3219-E065-4051-B350-212F0D898F09}"/>
</file>

<file path=customXml/itemProps3.xml><?xml version="1.0" encoding="utf-8"?>
<ds:datastoreItem xmlns:ds="http://schemas.openxmlformats.org/officeDocument/2006/customXml" ds:itemID="{B01A1F48-B14C-43E4-81A8-AEE95D0112C8}"/>
</file>

<file path=docProps/app.xml><?xml version="1.0" encoding="utf-8"?>
<Properties xmlns="http://schemas.openxmlformats.org/officeDocument/2006/extended-properties" xmlns:vt="http://schemas.openxmlformats.org/officeDocument/2006/docPropsVTypes">
  <Template>Normal</Template>
  <TotalTime>7</TotalTime>
  <Pages>4</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Resolve customers’ complaints (CS31)</vt:lpstr>
    </vt:vector>
  </TitlesOfParts>
  <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Resolve customers’ complaints (CS31)</dc:title>
  <dc:creator>SUE</dc:creator>
  <cp:lastModifiedBy>Jurgita Baleviciute</cp:lastModifiedBy>
  <cp:revision>7</cp:revision>
  <dcterms:created xsi:type="dcterms:W3CDTF">2014-07-30T10:55:00Z</dcterms:created>
  <dcterms:modified xsi:type="dcterms:W3CDTF">2017-03-08T16:52:00Z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1333;#8620-323|f777c4da-801d-464f-a4fb-256446d63a23;#1358;#8621-323|82027e84-5c78-4cc1-beee-26c3813fd4e2;#1418;#8622-323|9d2d324b-de5c-4aa4-875d-d9c611995818</vt:lpwstr>
  </property>
  <property fmtid="{D5CDD505-2E9C-101B-9397-08002B2CF9AE}" pid="4" name="Family Code">
    <vt:lpwstr>990;#8620|303c6c97-244e-4ddd-b3e5-0c364c3513d1;#991;#8621|0919e5d9-18fa-4a06-88d4-e8a2e38acd9a;#992;#8622|5fa3b72e-ae13-4e50-9511-17af1e1d6aea</vt:lpwstr>
  </property>
  <property fmtid="{D5CDD505-2E9C-101B-9397-08002B2CF9AE}" pid="5" name="PoS">
    <vt:lpwstr>995;#8620-31|4d700742-778d-44d7-b512-4f4e30e567e3;#996;#8620-33|e7a540cd-c6c3-44cc-8438-68e459d6611d;#997;#8621-31|8de2e53a-d037-4117-9560-937eebe43732;#998;#8621-33|b4c99a25-2034-486d-9208-ad1309afa1f1;#999;#8622-41|d21f84b9-bfe2-4f27-ac94-0f942e19ff84;#1000;#8622-43|de845b68-fadf-48c9-aac7-3cddce4582cb</vt:lpwstr>
  </property>
</Properties>
</file>