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7C489" w14:textId="77777777" w:rsidR="00B909FB" w:rsidRPr="00BC2407" w:rsidRDefault="00BC2407" w:rsidP="002E3736">
      <w:pPr>
        <w:pStyle w:val="NoSpacing"/>
      </w:pPr>
      <w:bookmarkStart w:id="0" w:name="_GoBack"/>
      <w:bookmarkEnd w:id="0"/>
      <w:r w:rsidRPr="00BC2407">
        <w:rPr>
          <w:rFonts w:ascii="Calibri" w:hAnsi="Calibri"/>
          <w:color w:val="000000"/>
          <w:w w:val="105"/>
        </w:rPr>
        <w:t>M&amp;L</w:t>
      </w:r>
      <w:r w:rsidR="00C00F85">
        <w:rPr>
          <w:rFonts w:ascii="Calibri" w:hAnsi="Calibri"/>
          <w:color w:val="000000"/>
          <w:w w:val="105"/>
        </w:rPr>
        <w:t xml:space="preserve"> 33</w:t>
      </w:r>
      <w:r w:rsidR="006C45CC">
        <w:rPr>
          <w:rFonts w:ascii="Calibri" w:hAnsi="Calibri"/>
          <w:color w:val="000000"/>
          <w:w w:val="105"/>
        </w:rPr>
        <w:t>.</w:t>
      </w:r>
      <w:r w:rsidR="00C00F85">
        <w:rPr>
          <w:rFonts w:ascii="Calibri" w:hAnsi="Calibri"/>
          <w:color w:val="000000"/>
          <w:w w:val="105"/>
        </w:rPr>
        <w:t xml:space="preserve"> </w:t>
      </w:r>
      <w:r w:rsidR="00DD4A97">
        <w:t>Manage</w:t>
      </w:r>
      <w:r w:rsidR="00B909FB">
        <w:t xml:space="preserve"> a tendering process</w:t>
      </w:r>
    </w:p>
    <w:tbl>
      <w:tblPr>
        <w:tblW w:w="0" w:type="auto"/>
        <w:tblBorders>
          <w:top w:val="nil"/>
          <w:left w:val="nil"/>
          <w:bottom w:val="nil"/>
          <w:right w:val="nil"/>
        </w:tblBorders>
        <w:tblLayout w:type="fixed"/>
        <w:tblLook w:val="0000" w:firstRow="0" w:lastRow="0" w:firstColumn="0" w:lastColumn="0" w:noHBand="0" w:noVBand="0"/>
      </w:tblPr>
      <w:tblGrid>
        <w:gridCol w:w="2533"/>
      </w:tblGrid>
      <w:tr w:rsidR="00B909FB" w14:paraId="6807C48B" w14:textId="77777777" w:rsidTr="00B909FB">
        <w:trPr>
          <w:trHeight w:val="110"/>
        </w:trPr>
        <w:tc>
          <w:tcPr>
            <w:tcW w:w="2533" w:type="dxa"/>
          </w:tcPr>
          <w:p w14:paraId="6807C48A" w14:textId="77777777" w:rsidR="00B909FB" w:rsidRDefault="00B909FB">
            <w:pPr>
              <w:pStyle w:val="Default"/>
              <w:rPr>
                <w:sz w:val="22"/>
                <w:szCs w:val="22"/>
              </w:rPr>
            </w:pPr>
          </w:p>
        </w:tc>
      </w:tr>
    </w:tbl>
    <w:tbl>
      <w:tblPr>
        <w:tblStyle w:val="TableGrid"/>
        <w:tblW w:w="0" w:type="auto"/>
        <w:tblLook w:val="04A0" w:firstRow="1" w:lastRow="0" w:firstColumn="1" w:lastColumn="0" w:noHBand="0" w:noVBand="1"/>
      </w:tblPr>
      <w:tblGrid>
        <w:gridCol w:w="2245"/>
        <w:gridCol w:w="3330"/>
        <w:gridCol w:w="7375"/>
      </w:tblGrid>
      <w:tr w:rsidR="00411C14" w14:paraId="6807C490" w14:textId="77777777" w:rsidTr="00C113C6">
        <w:tc>
          <w:tcPr>
            <w:tcW w:w="2245" w:type="dxa"/>
            <w:tcBorders>
              <w:bottom w:val="single" w:sz="4" w:space="0" w:color="auto"/>
            </w:tcBorders>
          </w:tcPr>
          <w:p w14:paraId="6807C48C" w14:textId="77777777" w:rsidR="00411C14" w:rsidRPr="00FD79EE" w:rsidRDefault="00411C14">
            <w:pPr>
              <w:rPr>
                <w:b/>
              </w:rPr>
            </w:pPr>
            <w:r w:rsidRPr="00FD79EE">
              <w:rPr>
                <w:b/>
              </w:rPr>
              <w:t>Learning Outcome</w:t>
            </w:r>
          </w:p>
        </w:tc>
        <w:tc>
          <w:tcPr>
            <w:tcW w:w="3330" w:type="dxa"/>
            <w:tcBorders>
              <w:bottom w:val="single" w:sz="4" w:space="0" w:color="auto"/>
            </w:tcBorders>
          </w:tcPr>
          <w:p w14:paraId="6807C48D" w14:textId="77777777" w:rsidR="00411C14" w:rsidRPr="00FD79EE" w:rsidRDefault="00411C14" w:rsidP="00411C14">
            <w:pPr>
              <w:rPr>
                <w:b/>
              </w:rPr>
            </w:pPr>
            <w:r w:rsidRPr="00FD79EE">
              <w:rPr>
                <w:b/>
              </w:rPr>
              <w:t>Assessment Criteria</w:t>
            </w:r>
          </w:p>
        </w:tc>
        <w:tc>
          <w:tcPr>
            <w:tcW w:w="7375" w:type="dxa"/>
          </w:tcPr>
          <w:p w14:paraId="6807C48E" w14:textId="77777777" w:rsidR="00411C14" w:rsidRPr="00FD79EE" w:rsidRDefault="00411C14">
            <w:pPr>
              <w:rPr>
                <w:b/>
              </w:rPr>
            </w:pPr>
            <w:r w:rsidRPr="00FD79EE">
              <w:rPr>
                <w:b/>
              </w:rPr>
              <w:t>Guidelines and range</w:t>
            </w:r>
          </w:p>
          <w:p w14:paraId="6807C48F" w14:textId="77777777" w:rsidR="006A6595" w:rsidRPr="00FD79EE" w:rsidRDefault="006A6595">
            <w:pPr>
              <w:rPr>
                <w:b/>
              </w:rPr>
            </w:pPr>
            <w:r w:rsidRPr="00FD79EE">
              <w:rPr>
                <w:b/>
              </w:rPr>
              <w:t xml:space="preserve">The candidate provides evidence that they </w:t>
            </w:r>
            <w:r w:rsidR="00C113C6" w:rsidRPr="00FD79EE">
              <w:rPr>
                <w:b/>
              </w:rPr>
              <w:t>understand:</w:t>
            </w:r>
          </w:p>
        </w:tc>
      </w:tr>
      <w:tr w:rsidR="00651606" w14:paraId="6807C493" w14:textId="77777777" w:rsidTr="005239C9">
        <w:tc>
          <w:tcPr>
            <w:tcW w:w="12950" w:type="dxa"/>
            <w:gridSpan w:val="3"/>
            <w:tcBorders>
              <w:bottom w:val="single" w:sz="4" w:space="0" w:color="auto"/>
            </w:tcBorders>
          </w:tcPr>
          <w:p w14:paraId="6807C491" w14:textId="77777777" w:rsidR="00651606" w:rsidRPr="00651606" w:rsidRDefault="00651606" w:rsidP="00651606">
            <w:pPr>
              <w:rPr>
                <w:b/>
              </w:rPr>
            </w:pPr>
            <w:r w:rsidRPr="00651606">
              <w:rPr>
                <w:b/>
              </w:rPr>
              <w:t>This section requires the learner to produce a tender specification. The assessment criteria in this section should be addressed based on  that chosen situation</w:t>
            </w:r>
          </w:p>
          <w:p w14:paraId="6807C492" w14:textId="77777777" w:rsidR="00651606" w:rsidRPr="00FD79EE" w:rsidRDefault="00651606">
            <w:pPr>
              <w:rPr>
                <w:b/>
              </w:rPr>
            </w:pPr>
          </w:p>
        </w:tc>
      </w:tr>
      <w:tr w:rsidR="00411C14" w14:paraId="6807C49F" w14:textId="77777777" w:rsidTr="008A39AD">
        <w:tc>
          <w:tcPr>
            <w:tcW w:w="2245" w:type="dxa"/>
            <w:tcBorders>
              <w:bottom w:val="nil"/>
            </w:tcBorders>
          </w:tcPr>
          <w:p w14:paraId="6807C494" w14:textId="77777777" w:rsidR="00B909FB" w:rsidRPr="007624BA" w:rsidRDefault="00B909FB" w:rsidP="00B909FB">
            <w:pPr>
              <w:pStyle w:val="Default"/>
              <w:rPr>
                <w:rFonts w:ascii="Arial" w:hAnsi="Arial" w:cs="Arial"/>
                <w:color w:val="auto"/>
                <w:sz w:val="20"/>
                <w:szCs w:val="20"/>
              </w:rPr>
            </w:pPr>
            <w:r w:rsidRPr="007624BA">
              <w:rPr>
                <w:rFonts w:ascii="Arial" w:hAnsi="Arial" w:cs="Arial"/>
                <w:color w:val="auto"/>
                <w:sz w:val="20"/>
                <w:szCs w:val="20"/>
              </w:rPr>
              <w:t xml:space="preserve">1. Be able to develop a tender specification </w:t>
            </w:r>
          </w:p>
          <w:p w14:paraId="6807C495" w14:textId="77777777" w:rsidR="00B909FB" w:rsidRPr="007624BA" w:rsidRDefault="00B909FB" w:rsidP="00B909FB">
            <w:pPr>
              <w:pStyle w:val="Default"/>
              <w:rPr>
                <w:rFonts w:ascii="Arial" w:hAnsi="Arial" w:cs="Arial"/>
                <w:color w:val="auto"/>
                <w:sz w:val="20"/>
                <w:szCs w:val="20"/>
              </w:rPr>
            </w:pPr>
          </w:p>
          <w:p w14:paraId="6807C496" w14:textId="77777777" w:rsidR="00411C14" w:rsidRPr="007624BA" w:rsidRDefault="00411C14" w:rsidP="00B909FB">
            <w:pPr>
              <w:pStyle w:val="Default"/>
              <w:rPr>
                <w:rFonts w:ascii="Arial" w:hAnsi="Arial" w:cs="Arial"/>
                <w:color w:val="auto"/>
                <w:sz w:val="20"/>
                <w:szCs w:val="20"/>
              </w:rPr>
            </w:pPr>
          </w:p>
        </w:tc>
        <w:tc>
          <w:tcPr>
            <w:tcW w:w="3330" w:type="dxa"/>
            <w:tcBorders>
              <w:bottom w:val="nil"/>
            </w:tcBorders>
          </w:tcPr>
          <w:p w14:paraId="6807C497" w14:textId="77777777" w:rsidR="00B909FB" w:rsidRPr="007624BA" w:rsidRDefault="00B909FB" w:rsidP="00B909FB">
            <w:pPr>
              <w:pStyle w:val="Default"/>
              <w:rPr>
                <w:rFonts w:ascii="Arial" w:hAnsi="Arial" w:cs="Arial"/>
                <w:color w:val="auto"/>
                <w:sz w:val="20"/>
                <w:szCs w:val="20"/>
              </w:rPr>
            </w:pPr>
            <w:r w:rsidRPr="007624BA">
              <w:rPr>
                <w:rFonts w:ascii="Arial" w:hAnsi="Arial" w:cs="Arial"/>
                <w:color w:val="auto"/>
                <w:spacing w:val="-5"/>
                <w:sz w:val="20"/>
                <w:szCs w:val="20"/>
              </w:rPr>
              <w:t xml:space="preserve">1.1 </w:t>
            </w:r>
            <w:r w:rsidRPr="007624BA">
              <w:rPr>
                <w:rFonts w:ascii="Arial" w:hAnsi="Arial" w:cs="Arial"/>
                <w:color w:val="auto"/>
                <w:sz w:val="20"/>
                <w:szCs w:val="20"/>
              </w:rPr>
              <w:t xml:space="preserve">Explain the roles and inputs of those who need to be involved in the tender process </w:t>
            </w:r>
          </w:p>
          <w:p w14:paraId="6807C498" w14:textId="77777777" w:rsidR="00B909FB" w:rsidRPr="007624BA" w:rsidRDefault="00B909FB" w:rsidP="00B909FB">
            <w:pPr>
              <w:ind w:right="252"/>
              <w:rPr>
                <w:rFonts w:ascii="Arial" w:hAnsi="Arial" w:cs="Arial"/>
                <w:sz w:val="20"/>
                <w:szCs w:val="20"/>
              </w:rPr>
            </w:pPr>
            <w:r w:rsidRPr="007624BA">
              <w:rPr>
                <w:rFonts w:ascii="Arial" w:hAnsi="Arial" w:cs="Arial"/>
                <w:spacing w:val="-5"/>
                <w:sz w:val="20"/>
                <w:szCs w:val="20"/>
              </w:rPr>
              <w:t xml:space="preserve"> </w:t>
            </w:r>
          </w:p>
          <w:p w14:paraId="6807C499" w14:textId="77777777" w:rsidR="00B909FB" w:rsidRPr="007624BA" w:rsidRDefault="00B909FB" w:rsidP="00AE2310">
            <w:pPr>
              <w:ind w:right="252"/>
              <w:rPr>
                <w:rFonts w:ascii="Arial" w:hAnsi="Arial" w:cs="Arial"/>
                <w:spacing w:val="-5"/>
                <w:sz w:val="20"/>
                <w:szCs w:val="20"/>
              </w:rPr>
            </w:pPr>
          </w:p>
          <w:p w14:paraId="6807C49A" w14:textId="77777777" w:rsidR="00B909FB" w:rsidRPr="007624BA" w:rsidRDefault="00B909FB" w:rsidP="00B909FB">
            <w:pPr>
              <w:pStyle w:val="Default"/>
              <w:rPr>
                <w:rFonts w:ascii="Arial" w:hAnsi="Arial" w:cs="Arial"/>
                <w:color w:val="auto"/>
                <w:sz w:val="20"/>
                <w:szCs w:val="20"/>
              </w:rPr>
            </w:pPr>
          </w:p>
          <w:p w14:paraId="6807C49B" w14:textId="77777777" w:rsidR="00411C14" w:rsidRPr="007624BA" w:rsidRDefault="00411C14">
            <w:pPr>
              <w:rPr>
                <w:rFonts w:ascii="Arial" w:hAnsi="Arial" w:cs="Arial"/>
                <w:sz w:val="20"/>
                <w:szCs w:val="20"/>
              </w:rPr>
            </w:pPr>
          </w:p>
        </w:tc>
        <w:tc>
          <w:tcPr>
            <w:tcW w:w="7375" w:type="dxa"/>
          </w:tcPr>
          <w:p w14:paraId="6807C49C" w14:textId="77777777" w:rsidR="00D20E3A" w:rsidRPr="007624BA" w:rsidRDefault="00711E71" w:rsidP="00D20E3A">
            <w:pPr>
              <w:rPr>
                <w:rFonts w:ascii="Arial" w:hAnsi="Arial" w:cs="Arial"/>
                <w:sz w:val="20"/>
                <w:szCs w:val="20"/>
              </w:rPr>
            </w:pPr>
            <w:r w:rsidRPr="007624BA">
              <w:rPr>
                <w:rFonts w:ascii="Arial" w:hAnsi="Arial" w:cs="Arial"/>
                <w:sz w:val="20"/>
                <w:szCs w:val="20"/>
              </w:rPr>
              <w:t xml:space="preserve">Tendering is a process which involves </w:t>
            </w:r>
            <w:r w:rsidR="00481E2F" w:rsidRPr="007624BA">
              <w:rPr>
                <w:rFonts w:ascii="Arial" w:hAnsi="Arial" w:cs="Arial"/>
                <w:sz w:val="20"/>
                <w:szCs w:val="20"/>
              </w:rPr>
              <w:t>requesting from the external market-</w:t>
            </w:r>
            <w:r w:rsidR="0086387B" w:rsidRPr="007624BA">
              <w:rPr>
                <w:rFonts w:ascii="Arial" w:hAnsi="Arial" w:cs="Arial"/>
                <w:sz w:val="20"/>
                <w:szCs w:val="20"/>
              </w:rPr>
              <w:t>place</w:t>
            </w:r>
            <w:r w:rsidRPr="007624BA">
              <w:rPr>
                <w:rFonts w:ascii="Arial" w:hAnsi="Arial" w:cs="Arial"/>
                <w:sz w:val="20"/>
                <w:szCs w:val="20"/>
              </w:rPr>
              <w:t xml:space="preserve"> proposals or bids for the supply of goods or </w:t>
            </w:r>
            <w:r w:rsidR="00481E2F" w:rsidRPr="007624BA">
              <w:rPr>
                <w:rFonts w:ascii="Arial" w:hAnsi="Arial" w:cs="Arial"/>
                <w:sz w:val="20"/>
                <w:szCs w:val="20"/>
              </w:rPr>
              <w:t xml:space="preserve">services.  A tender specification </w:t>
            </w:r>
            <w:r w:rsidR="0023346A" w:rsidRPr="007624BA">
              <w:rPr>
                <w:rFonts w:ascii="Arial" w:hAnsi="Arial" w:cs="Arial"/>
                <w:sz w:val="20"/>
                <w:szCs w:val="20"/>
              </w:rPr>
              <w:t xml:space="preserve">sets out the </w:t>
            </w:r>
            <w:r w:rsidR="00481E2F" w:rsidRPr="007624BA">
              <w:rPr>
                <w:rFonts w:ascii="Arial" w:hAnsi="Arial" w:cs="Arial"/>
                <w:sz w:val="20"/>
                <w:szCs w:val="20"/>
              </w:rPr>
              <w:t>specific requirements</w:t>
            </w:r>
            <w:r w:rsidR="0023346A" w:rsidRPr="007624BA">
              <w:rPr>
                <w:rFonts w:ascii="Arial" w:hAnsi="Arial" w:cs="Arial"/>
                <w:sz w:val="20"/>
                <w:szCs w:val="20"/>
              </w:rPr>
              <w:t xml:space="preserve"> to be met by the bid</w:t>
            </w:r>
            <w:r w:rsidR="00481E2F" w:rsidRPr="007624BA">
              <w:rPr>
                <w:rFonts w:ascii="Arial" w:hAnsi="Arial" w:cs="Arial"/>
                <w:sz w:val="20"/>
                <w:szCs w:val="20"/>
              </w:rPr>
              <w:t>.</w:t>
            </w:r>
          </w:p>
          <w:p w14:paraId="6807C49D" w14:textId="77777777" w:rsidR="00D20E3A" w:rsidRPr="007624BA" w:rsidRDefault="00D20E3A" w:rsidP="00D20E3A">
            <w:pPr>
              <w:rPr>
                <w:rFonts w:ascii="Arial" w:hAnsi="Arial" w:cs="Arial"/>
                <w:sz w:val="20"/>
                <w:szCs w:val="20"/>
              </w:rPr>
            </w:pPr>
            <w:r w:rsidRPr="007624BA">
              <w:rPr>
                <w:rFonts w:ascii="Arial" w:hAnsi="Arial" w:cs="Arial"/>
                <w:sz w:val="20"/>
                <w:szCs w:val="20"/>
              </w:rPr>
              <w:t>The main rol</w:t>
            </w:r>
            <w:r w:rsidR="00711E71" w:rsidRPr="007624BA">
              <w:rPr>
                <w:rFonts w:ascii="Arial" w:hAnsi="Arial" w:cs="Arial"/>
                <w:sz w:val="20"/>
                <w:szCs w:val="20"/>
              </w:rPr>
              <w:t>es in the tendering pro</w:t>
            </w:r>
            <w:r w:rsidR="00481E2F" w:rsidRPr="007624BA">
              <w:rPr>
                <w:rFonts w:ascii="Arial" w:hAnsi="Arial" w:cs="Arial"/>
                <w:sz w:val="20"/>
                <w:szCs w:val="20"/>
              </w:rPr>
              <w:t xml:space="preserve">cess include </w:t>
            </w:r>
            <w:r w:rsidR="00711E71" w:rsidRPr="007624BA">
              <w:rPr>
                <w:rFonts w:ascii="Arial" w:hAnsi="Arial" w:cs="Arial"/>
                <w:sz w:val="20"/>
                <w:szCs w:val="20"/>
              </w:rPr>
              <w:t xml:space="preserve">purchasing officer or bid manager and the tender panel. Specific roles and responsibilities are set out in the </w:t>
            </w:r>
            <w:proofErr w:type="spellStart"/>
            <w:r w:rsidR="00711E71" w:rsidRPr="007624BA">
              <w:rPr>
                <w:rFonts w:ascii="Arial" w:hAnsi="Arial" w:cs="Arial"/>
                <w:sz w:val="20"/>
                <w:szCs w:val="20"/>
              </w:rPr>
              <w:t>organisation</w:t>
            </w:r>
            <w:r w:rsidR="0086387B" w:rsidRPr="007624BA">
              <w:rPr>
                <w:rFonts w:ascii="Arial" w:hAnsi="Arial" w:cs="Arial"/>
                <w:sz w:val="20"/>
                <w:szCs w:val="20"/>
              </w:rPr>
              <w:t>’</w:t>
            </w:r>
            <w:r w:rsidR="00711E71" w:rsidRPr="007624BA">
              <w:rPr>
                <w:rFonts w:ascii="Arial" w:hAnsi="Arial" w:cs="Arial"/>
                <w:sz w:val="20"/>
                <w:szCs w:val="20"/>
              </w:rPr>
              <w:t>s</w:t>
            </w:r>
            <w:proofErr w:type="spellEnd"/>
            <w:r w:rsidR="00711E71" w:rsidRPr="007624BA">
              <w:rPr>
                <w:rFonts w:ascii="Arial" w:hAnsi="Arial" w:cs="Arial"/>
                <w:sz w:val="20"/>
                <w:szCs w:val="20"/>
              </w:rPr>
              <w:t xml:space="preserve"> procurement policy</w:t>
            </w:r>
            <w:r w:rsidR="00481E2F" w:rsidRPr="007624BA">
              <w:rPr>
                <w:rFonts w:ascii="Arial" w:hAnsi="Arial" w:cs="Arial"/>
                <w:sz w:val="20"/>
                <w:szCs w:val="20"/>
              </w:rPr>
              <w:t>.</w:t>
            </w:r>
          </w:p>
          <w:p w14:paraId="6807C49E" w14:textId="77777777" w:rsidR="00D20E3A" w:rsidRPr="007624BA" w:rsidRDefault="00D20E3A" w:rsidP="00D20E3A">
            <w:pPr>
              <w:rPr>
                <w:rFonts w:ascii="Arial" w:hAnsi="Arial" w:cs="Arial"/>
                <w:sz w:val="20"/>
                <w:szCs w:val="20"/>
              </w:rPr>
            </w:pPr>
          </w:p>
        </w:tc>
      </w:tr>
      <w:tr w:rsidR="00411C14" w14:paraId="6807C4A3" w14:textId="77777777" w:rsidTr="00510848">
        <w:tc>
          <w:tcPr>
            <w:tcW w:w="2245" w:type="dxa"/>
            <w:tcBorders>
              <w:top w:val="nil"/>
              <w:bottom w:val="nil"/>
            </w:tcBorders>
          </w:tcPr>
          <w:p w14:paraId="6807C4A0" w14:textId="77777777" w:rsidR="00411C14" w:rsidRPr="007624BA" w:rsidRDefault="00411C14">
            <w:pPr>
              <w:rPr>
                <w:rFonts w:ascii="Arial" w:hAnsi="Arial" w:cs="Arial"/>
                <w:sz w:val="20"/>
                <w:szCs w:val="20"/>
              </w:rPr>
            </w:pPr>
          </w:p>
        </w:tc>
        <w:tc>
          <w:tcPr>
            <w:tcW w:w="3330" w:type="dxa"/>
            <w:tcBorders>
              <w:top w:val="nil"/>
              <w:bottom w:val="single" w:sz="4" w:space="0" w:color="auto"/>
            </w:tcBorders>
          </w:tcPr>
          <w:p w14:paraId="6807C4A1" w14:textId="77777777" w:rsidR="00411C14" w:rsidRPr="007624BA" w:rsidRDefault="00411C14">
            <w:pPr>
              <w:rPr>
                <w:rFonts w:ascii="Arial" w:hAnsi="Arial" w:cs="Arial"/>
                <w:sz w:val="20"/>
                <w:szCs w:val="20"/>
              </w:rPr>
            </w:pPr>
          </w:p>
        </w:tc>
        <w:tc>
          <w:tcPr>
            <w:tcW w:w="7375" w:type="dxa"/>
          </w:tcPr>
          <w:p w14:paraId="6807C4A2" w14:textId="77777777" w:rsidR="00411C14" w:rsidRPr="007624BA" w:rsidRDefault="00DD22A0" w:rsidP="00481E2F">
            <w:pPr>
              <w:pStyle w:val="Subtitle"/>
              <w:rPr>
                <w:rFonts w:ascii="Arial" w:hAnsi="Arial" w:cs="Arial"/>
                <w:i/>
                <w:color w:val="auto"/>
                <w:sz w:val="20"/>
                <w:szCs w:val="20"/>
              </w:rPr>
            </w:pPr>
            <w:r w:rsidRPr="007624BA">
              <w:rPr>
                <w:rFonts w:ascii="Arial" w:hAnsi="Arial" w:cs="Arial"/>
                <w:i/>
                <w:color w:val="auto"/>
                <w:sz w:val="20"/>
                <w:szCs w:val="20"/>
              </w:rPr>
              <w:t>In this criterion</w:t>
            </w:r>
            <w:r w:rsidR="00EC3157" w:rsidRPr="007624BA">
              <w:rPr>
                <w:rFonts w:ascii="Arial" w:hAnsi="Arial" w:cs="Arial"/>
                <w:i/>
                <w:color w:val="auto"/>
                <w:sz w:val="20"/>
                <w:szCs w:val="20"/>
              </w:rPr>
              <w:t xml:space="preserve"> the learner is required</w:t>
            </w:r>
            <w:r w:rsidR="00D20E3A" w:rsidRPr="007624BA">
              <w:rPr>
                <w:rFonts w:ascii="Arial" w:hAnsi="Arial" w:cs="Arial"/>
                <w:i/>
                <w:color w:val="auto"/>
                <w:sz w:val="20"/>
                <w:szCs w:val="20"/>
              </w:rPr>
              <w:t xml:space="preserve"> to </w:t>
            </w:r>
            <w:r w:rsidR="00BC6F19" w:rsidRPr="007624BA">
              <w:rPr>
                <w:rFonts w:ascii="Arial" w:hAnsi="Arial" w:cs="Arial"/>
                <w:i/>
                <w:color w:val="auto"/>
                <w:sz w:val="20"/>
                <w:szCs w:val="20"/>
              </w:rPr>
              <w:t>e</w:t>
            </w:r>
            <w:r w:rsidR="00D20E3A" w:rsidRPr="007624BA">
              <w:rPr>
                <w:rFonts w:ascii="Arial" w:hAnsi="Arial" w:cs="Arial"/>
                <w:i/>
                <w:color w:val="auto"/>
                <w:sz w:val="20"/>
                <w:szCs w:val="20"/>
              </w:rPr>
              <w:t xml:space="preserve">xplain </w:t>
            </w:r>
            <w:r w:rsidR="00D20E3A" w:rsidRPr="007624BA">
              <w:rPr>
                <w:rStyle w:val="SubtitleChar"/>
                <w:rFonts w:ascii="Arial" w:hAnsi="Arial" w:cs="Arial"/>
                <w:i/>
                <w:color w:val="auto"/>
                <w:sz w:val="20"/>
                <w:szCs w:val="20"/>
              </w:rPr>
              <w:t xml:space="preserve">the roles and inputs of those who need to be involved in the tender process </w:t>
            </w:r>
          </w:p>
        </w:tc>
      </w:tr>
      <w:tr w:rsidR="006B2278" w14:paraId="6807C4A7" w14:textId="77777777" w:rsidTr="00161B24">
        <w:trPr>
          <w:trHeight w:val="1095"/>
        </w:trPr>
        <w:tc>
          <w:tcPr>
            <w:tcW w:w="2245" w:type="dxa"/>
            <w:tcBorders>
              <w:top w:val="nil"/>
              <w:bottom w:val="nil"/>
            </w:tcBorders>
          </w:tcPr>
          <w:p w14:paraId="6807C4A4" w14:textId="77777777" w:rsidR="006B2278" w:rsidRPr="007624BA" w:rsidRDefault="006B2278" w:rsidP="008A39AD">
            <w:pPr>
              <w:ind w:firstLine="720"/>
              <w:rPr>
                <w:rFonts w:ascii="Arial" w:hAnsi="Arial" w:cs="Arial"/>
                <w:sz w:val="20"/>
                <w:szCs w:val="20"/>
              </w:rPr>
            </w:pPr>
          </w:p>
        </w:tc>
        <w:tc>
          <w:tcPr>
            <w:tcW w:w="3330" w:type="dxa"/>
            <w:tcBorders>
              <w:bottom w:val="nil"/>
            </w:tcBorders>
          </w:tcPr>
          <w:p w14:paraId="6807C4A5" w14:textId="77777777" w:rsidR="006B2278" w:rsidRPr="007624BA" w:rsidRDefault="00B16C86" w:rsidP="00161B24">
            <w:pPr>
              <w:pStyle w:val="Default"/>
              <w:rPr>
                <w:rFonts w:ascii="Arial" w:hAnsi="Arial" w:cs="Arial"/>
                <w:color w:val="auto"/>
                <w:sz w:val="20"/>
                <w:szCs w:val="20"/>
              </w:rPr>
            </w:pPr>
            <w:r w:rsidRPr="007624BA">
              <w:rPr>
                <w:rFonts w:ascii="Arial" w:hAnsi="Arial" w:cs="Arial"/>
                <w:color w:val="auto"/>
                <w:sz w:val="20"/>
                <w:szCs w:val="20"/>
              </w:rPr>
              <w:t xml:space="preserve">1.2 </w:t>
            </w:r>
            <w:r w:rsidR="00B909FB" w:rsidRPr="007624BA">
              <w:rPr>
                <w:rFonts w:ascii="Arial" w:hAnsi="Arial" w:cs="Arial"/>
                <w:color w:val="auto"/>
                <w:sz w:val="20"/>
                <w:szCs w:val="20"/>
              </w:rPr>
              <w:t xml:space="preserve">Identify essential and desirable business needs and their implications which may be included within the tender </w:t>
            </w:r>
          </w:p>
        </w:tc>
        <w:tc>
          <w:tcPr>
            <w:tcW w:w="7375" w:type="dxa"/>
          </w:tcPr>
          <w:p w14:paraId="6807C4A6" w14:textId="77777777" w:rsidR="001978EA" w:rsidRPr="007624BA" w:rsidRDefault="00D20E3A" w:rsidP="0086387B">
            <w:pPr>
              <w:rPr>
                <w:rFonts w:ascii="Arial" w:hAnsi="Arial" w:cs="Arial"/>
                <w:sz w:val="20"/>
                <w:szCs w:val="20"/>
              </w:rPr>
            </w:pPr>
            <w:r w:rsidRPr="007624BA">
              <w:rPr>
                <w:rFonts w:ascii="Arial" w:hAnsi="Arial" w:cs="Arial"/>
                <w:sz w:val="20"/>
                <w:szCs w:val="20"/>
              </w:rPr>
              <w:t>The main needs of</w:t>
            </w:r>
            <w:r w:rsidR="00F81527" w:rsidRPr="007624BA">
              <w:rPr>
                <w:rFonts w:ascii="Arial" w:hAnsi="Arial" w:cs="Arial"/>
                <w:sz w:val="20"/>
                <w:szCs w:val="20"/>
              </w:rPr>
              <w:t xml:space="preserve"> </w:t>
            </w:r>
            <w:r w:rsidRPr="007624BA">
              <w:rPr>
                <w:rFonts w:ascii="Arial" w:hAnsi="Arial" w:cs="Arial"/>
                <w:sz w:val="20"/>
                <w:szCs w:val="20"/>
              </w:rPr>
              <w:t>a business from the tendering process are</w:t>
            </w:r>
            <w:r w:rsidR="001978EA" w:rsidRPr="007624BA">
              <w:rPr>
                <w:rFonts w:ascii="Arial" w:hAnsi="Arial" w:cs="Arial"/>
                <w:sz w:val="20"/>
                <w:szCs w:val="20"/>
              </w:rPr>
              <w:t xml:space="preserve"> likely to relate a clear definition of the</w:t>
            </w:r>
            <w:r w:rsidR="00BE4215" w:rsidRPr="007624BA">
              <w:rPr>
                <w:rFonts w:ascii="Arial" w:hAnsi="Arial" w:cs="Arial"/>
                <w:sz w:val="20"/>
                <w:szCs w:val="20"/>
              </w:rPr>
              <w:t xml:space="preserve"> </w:t>
            </w:r>
            <w:r w:rsidR="0086387B" w:rsidRPr="007624BA">
              <w:rPr>
                <w:rFonts w:ascii="Arial" w:hAnsi="Arial" w:cs="Arial"/>
                <w:sz w:val="20"/>
                <w:szCs w:val="20"/>
              </w:rPr>
              <w:t xml:space="preserve">needs  of the end user within the business  including those </w:t>
            </w:r>
            <w:r w:rsidR="00BE4215" w:rsidRPr="007624BA">
              <w:rPr>
                <w:rFonts w:ascii="Arial" w:hAnsi="Arial" w:cs="Arial"/>
                <w:sz w:val="20"/>
                <w:szCs w:val="20"/>
              </w:rPr>
              <w:t xml:space="preserve">essential </w:t>
            </w:r>
            <w:r w:rsidR="009F3529" w:rsidRPr="007624BA">
              <w:rPr>
                <w:rFonts w:ascii="Arial" w:hAnsi="Arial" w:cs="Arial"/>
                <w:sz w:val="20"/>
                <w:szCs w:val="20"/>
              </w:rPr>
              <w:t xml:space="preserve">for performance and </w:t>
            </w:r>
            <w:r w:rsidR="0086387B" w:rsidRPr="007624BA">
              <w:rPr>
                <w:rFonts w:ascii="Arial" w:hAnsi="Arial" w:cs="Arial"/>
                <w:sz w:val="20"/>
                <w:szCs w:val="20"/>
              </w:rPr>
              <w:t xml:space="preserve">those </w:t>
            </w:r>
            <w:r w:rsidR="00BE4215" w:rsidRPr="007624BA">
              <w:rPr>
                <w:rFonts w:ascii="Arial" w:hAnsi="Arial" w:cs="Arial"/>
                <w:sz w:val="20"/>
                <w:szCs w:val="20"/>
              </w:rPr>
              <w:t>desir</w:t>
            </w:r>
            <w:r w:rsidR="0086387B" w:rsidRPr="007624BA">
              <w:rPr>
                <w:rFonts w:ascii="Arial" w:hAnsi="Arial" w:cs="Arial"/>
                <w:sz w:val="20"/>
                <w:szCs w:val="20"/>
              </w:rPr>
              <w:t>able but not essential</w:t>
            </w:r>
            <w:r w:rsidR="001978EA" w:rsidRPr="007624BA">
              <w:rPr>
                <w:rFonts w:ascii="Arial" w:hAnsi="Arial" w:cs="Arial"/>
                <w:sz w:val="20"/>
                <w:szCs w:val="20"/>
              </w:rPr>
              <w:t>.</w:t>
            </w:r>
            <w:r w:rsidR="009F3529" w:rsidRPr="007624BA">
              <w:rPr>
                <w:rFonts w:ascii="Arial" w:hAnsi="Arial" w:cs="Arial"/>
                <w:sz w:val="20"/>
                <w:szCs w:val="20"/>
              </w:rPr>
              <w:t xml:space="preserve"> This </w:t>
            </w:r>
            <w:proofErr w:type="spellStart"/>
            <w:r w:rsidR="0086387B" w:rsidRPr="007624BA">
              <w:rPr>
                <w:rFonts w:ascii="Arial" w:hAnsi="Arial" w:cs="Arial"/>
                <w:sz w:val="20"/>
                <w:szCs w:val="20"/>
              </w:rPr>
              <w:t>prioritisation</w:t>
            </w:r>
            <w:proofErr w:type="spellEnd"/>
            <w:r w:rsidR="0086387B" w:rsidRPr="007624BA">
              <w:rPr>
                <w:rFonts w:ascii="Arial" w:hAnsi="Arial" w:cs="Arial"/>
                <w:sz w:val="20"/>
                <w:szCs w:val="20"/>
              </w:rPr>
              <w:t xml:space="preserve"> </w:t>
            </w:r>
            <w:r w:rsidR="009F3529" w:rsidRPr="007624BA">
              <w:rPr>
                <w:rFonts w:ascii="Arial" w:hAnsi="Arial" w:cs="Arial"/>
                <w:sz w:val="20"/>
                <w:szCs w:val="20"/>
              </w:rPr>
              <w:t>will be reflected in the tender ev</w:t>
            </w:r>
            <w:r w:rsidR="0086387B" w:rsidRPr="007624BA">
              <w:rPr>
                <w:rFonts w:ascii="Arial" w:hAnsi="Arial" w:cs="Arial"/>
                <w:sz w:val="20"/>
                <w:szCs w:val="20"/>
              </w:rPr>
              <w:t>al</w:t>
            </w:r>
            <w:r w:rsidR="009F3529" w:rsidRPr="007624BA">
              <w:rPr>
                <w:rFonts w:ascii="Arial" w:hAnsi="Arial" w:cs="Arial"/>
                <w:sz w:val="20"/>
                <w:szCs w:val="20"/>
              </w:rPr>
              <w:t>u</w:t>
            </w:r>
            <w:r w:rsidR="0086387B" w:rsidRPr="007624BA">
              <w:rPr>
                <w:rFonts w:ascii="Arial" w:hAnsi="Arial" w:cs="Arial"/>
                <w:sz w:val="20"/>
                <w:szCs w:val="20"/>
              </w:rPr>
              <w:t>a</w:t>
            </w:r>
            <w:r w:rsidR="009F3529" w:rsidRPr="007624BA">
              <w:rPr>
                <w:rFonts w:ascii="Arial" w:hAnsi="Arial" w:cs="Arial"/>
                <w:sz w:val="20"/>
                <w:szCs w:val="20"/>
              </w:rPr>
              <w:t>tion</w:t>
            </w:r>
            <w:r w:rsidR="0086387B" w:rsidRPr="007624BA">
              <w:rPr>
                <w:rFonts w:ascii="Arial" w:hAnsi="Arial" w:cs="Arial"/>
                <w:sz w:val="20"/>
                <w:szCs w:val="20"/>
              </w:rPr>
              <w:t xml:space="preserve"> process.</w:t>
            </w:r>
          </w:p>
        </w:tc>
      </w:tr>
      <w:tr w:rsidR="00BA4FD1" w14:paraId="6807C4BB" w14:textId="77777777" w:rsidTr="00A53571">
        <w:tc>
          <w:tcPr>
            <w:tcW w:w="2245" w:type="dxa"/>
            <w:vMerge w:val="restart"/>
            <w:tcBorders>
              <w:top w:val="nil"/>
            </w:tcBorders>
          </w:tcPr>
          <w:p w14:paraId="6807C4A8" w14:textId="77777777" w:rsidR="00BA4FD1" w:rsidRPr="007624BA" w:rsidRDefault="00BA4FD1" w:rsidP="008A5C11">
            <w:pPr>
              <w:rPr>
                <w:rFonts w:ascii="Arial" w:hAnsi="Arial" w:cs="Arial"/>
                <w:sz w:val="20"/>
                <w:szCs w:val="20"/>
              </w:rPr>
            </w:pPr>
          </w:p>
          <w:p w14:paraId="6807C4A9" w14:textId="77777777" w:rsidR="00BA4FD1" w:rsidRPr="007624BA" w:rsidRDefault="00BA4FD1" w:rsidP="008A5C11">
            <w:pPr>
              <w:rPr>
                <w:rFonts w:ascii="Arial" w:hAnsi="Arial" w:cs="Arial"/>
                <w:sz w:val="20"/>
                <w:szCs w:val="20"/>
              </w:rPr>
            </w:pPr>
          </w:p>
          <w:p w14:paraId="6807C4AA" w14:textId="77777777" w:rsidR="00BA4FD1" w:rsidRPr="007624BA" w:rsidRDefault="00BA4FD1" w:rsidP="008A5C11">
            <w:pPr>
              <w:rPr>
                <w:rFonts w:ascii="Arial" w:hAnsi="Arial" w:cs="Arial"/>
                <w:sz w:val="20"/>
                <w:szCs w:val="20"/>
              </w:rPr>
            </w:pPr>
          </w:p>
          <w:p w14:paraId="6807C4AB" w14:textId="77777777" w:rsidR="00BA4FD1" w:rsidRPr="007624BA" w:rsidRDefault="00BA4FD1" w:rsidP="008A5C11">
            <w:pPr>
              <w:rPr>
                <w:rFonts w:ascii="Arial" w:hAnsi="Arial" w:cs="Arial"/>
                <w:sz w:val="20"/>
                <w:szCs w:val="20"/>
              </w:rPr>
            </w:pPr>
          </w:p>
          <w:p w14:paraId="6807C4AC" w14:textId="77777777" w:rsidR="00BA4FD1" w:rsidRPr="007624BA" w:rsidRDefault="00BA4FD1" w:rsidP="008A5C11">
            <w:pPr>
              <w:rPr>
                <w:rFonts w:ascii="Arial" w:hAnsi="Arial" w:cs="Arial"/>
                <w:sz w:val="20"/>
                <w:szCs w:val="20"/>
              </w:rPr>
            </w:pPr>
          </w:p>
          <w:p w14:paraId="6807C4AD" w14:textId="77777777" w:rsidR="00BA4FD1" w:rsidRPr="007624BA" w:rsidRDefault="00BA4FD1" w:rsidP="008A5C11">
            <w:pPr>
              <w:rPr>
                <w:rFonts w:ascii="Arial" w:hAnsi="Arial" w:cs="Arial"/>
                <w:sz w:val="20"/>
                <w:szCs w:val="20"/>
              </w:rPr>
            </w:pPr>
          </w:p>
          <w:p w14:paraId="6807C4AE" w14:textId="77777777" w:rsidR="00BA4FD1" w:rsidRPr="007624BA" w:rsidRDefault="00BA4FD1" w:rsidP="008A5C11">
            <w:pPr>
              <w:rPr>
                <w:rFonts w:ascii="Arial" w:hAnsi="Arial" w:cs="Arial"/>
                <w:sz w:val="20"/>
                <w:szCs w:val="20"/>
              </w:rPr>
            </w:pPr>
          </w:p>
          <w:p w14:paraId="6807C4AF" w14:textId="77777777" w:rsidR="00BA4FD1" w:rsidRPr="007624BA" w:rsidRDefault="00BA4FD1" w:rsidP="008A5C11">
            <w:pPr>
              <w:rPr>
                <w:rFonts w:ascii="Arial" w:hAnsi="Arial" w:cs="Arial"/>
                <w:sz w:val="20"/>
                <w:szCs w:val="20"/>
              </w:rPr>
            </w:pPr>
          </w:p>
          <w:p w14:paraId="6807C4B0" w14:textId="77777777" w:rsidR="00BA4FD1" w:rsidRPr="007624BA" w:rsidRDefault="00BA4FD1" w:rsidP="008A5C11">
            <w:pPr>
              <w:rPr>
                <w:rFonts w:ascii="Arial" w:hAnsi="Arial" w:cs="Arial"/>
                <w:sz w:val="20"/>
                <w:szCs w:val="20"/>
              </w:rPr>
            </w:pPr>
          </w:p>
          <w:p w14:paraId="6807C4B1" w14:textId="77777777" w:rsidR="00BA4FD1" w:rsidRPr="007624BA" w:rsidRDefault="00BA4FD1" w:rsidP="008A5C11">
            <w:pPr>
              <w:rPr>
                <w:rFonts w:ascii="Arial" w:hAnsi="Arial" w:cs="Arial"/>
                <w:sz w:val="20"/>
                <w:szCs w:val="20"/>
              </w:rPr>
            </w:pPr>
          </w:p>
          <w:p w14:paraId="6807C4B2" w14:textId="77777777" w:rsidR="00BA4FD1" w:rsidRPr="007624BA" w:rsidRDefault="00BA4FD1" w:rsidP="008A5C11">
            <w:pPr>
              <w:rPr>
                <w:rFonts w:ascii="Arial" w:hAnsi="Arial" w:cs="Arial"/>
                <w:sz w:val="20"/>
                <w:szCs w:val="20"/>
              </w:rPr>
            </w:pPr>
          </w:p>
          <w:p w14:paraId="6807C4B3" w14:textId="77777777" w:rsidR="00BA4FD1" w:rsidRPr="007624BA" w:rsidRDefault="00BA4FD1" w:rsidP="008A5C11">
            <w:pPr>
              <w:rPr>
                <w:rFonts w:ascii="Arial" w:hAnsi="Arial" w:cs="Arial"/>
                <w:sz w:val="20"/>
                <w:szCs w:val="20"/>
              </w:rPr>
            </w:pPr>
          </w:p>
          <w:p w14:paraId="6807C4B4" w14:textId="77777777" w:rsidR="00BA4FD1" w:rsidRPr="007624BA" w:rsidRDefault="00BA4FD1" w:rsidP="008A5C11">
            <w:pPr>
              <w:rPr>
                <w:rFonts w:ascii="Arial" w:hAnsi="Arial" w:cs="Arial"/>
                <w:sz w:val="20"/>
                <w:szCs w:val="20"/>
              </w:rPr>
            </w:pPr>
          </w:p>
          <w:p w14:paraId="6807C4B5" w14:textId="77777777" w:rsidR="00BA4FD1" w:rsidRPr="007624BA" w:rsidRDefault="00BA4FD1" w:rsidP="008A5C11">
            <w:pPr>
              <w:rPr>
                <w:rFonts w:ascii="Arial" w:hAnsi="Arial" w:cs="Arial"/>
                <w:sz w:val="20"/>
                <w:szCs w:val="20"/>
              </w:rPr>
            </w:pPr>
          </w:p>
          <w:p w14:paraId="6807C4B6" w14:textId="77777777" w:rsidR="00BA4FD1" w:rsidRPr="007624BA" w:rsidRDefault="00BA4FD1" w:rsidP="008A5C11">
            <w:pPr>
              <w:rPr>
                <w:rFonts w:ascii="Arial" w:hAnsi="Arial" w:cs="Arial"/>
                <w:sz w:val="20"/>
                <w:szCs w:val="20"/>
              </w:rPr>
            </w:pPr>
          </w:p>
          <w:p w14:paraId="6807C4B7" w14:textId="77777777" w:rsidR="00BA4FD1" w:rsidRPr="007624BA" w:rsidRDefault="00BA4FD1" w:rsidP="008A5C11">
            <w:pPr>
              <w:rPr>
                <w:rFonts w:ascii="Arial" w:hAnsi="Arial" w:cs="Arial"/>
                <w:sz w:val="20"/>
                <w:szCs w:val="20"/>
              </w:rPr>
            </w:pPr>
          </w:p>
          <w:p w14:paraId="6807C4B8" w14:textId="77777777" w:rsidR="00BA4FD1" w:rsidRPr="007624BA" w:rsidRDefault="00BA4FD1" w:rsidP="008A5C11">
            <w:pPr>
              <w:rPr>
                <w:rFonts w:ascii="Arial" w:hAnsi="Arial" w:cs="Arial"/>
                <w:sz w:val="20"/>
                <w:szCs w:val="20"/>
              </w:rPr>
            </w:pPr>
          </w:p>
        </w:tc>
        <w:tc>
          <w:tcPr>
            <w:tcW w:w="3330" w:type="dxa"/>
            <w:tcBorders>
              <w:top w:val="nil"/>
              <w:bottom w:val="single" w:sz="4" w:space="0" w:color="auto"/>
            </w:tcBorders>
          </w:tcPr>
          <w:p w14:paraId="6807C4B9" w14:textId="77777777" w:rsidR="00BA4FD1" w:rsidRPr="007624BA" w:rsidRDefault="00BA4FD1" w:rsidP="008A5C11">
            <w:pPr>
              <w:rPr>
                <w:rFonts w:ascii="Arial" w:hAnsi="Arial" w:cs="Arial"/>
                <w:sz w:val="20"/>
                <w:szCs w:val="20"/>
              </w:rPr>
            </w:pPr>
          </w:p>
        </w:tc>
        <w:tc>
          <w:tcPr>
            <w:tcW w:w="7375" w:type="dxa"/>
          </w:tcPr>
          <w:p w14:paraId="6807C4BA" w14:textId="77777777" w:rsidR="00BA4FD1" w:rsidRPr="007624BA" w:rsidRDefault="00BA4FD1" w:rsidP="00481E2F">
            <w:pPr>
              <w:pStyle w:val="Subtitle"/>
              <w:rPr>
                <w:rFonts w:ascii="Arial" w:hAnsi="Arial" w:cs="Arial"/>
                <w:i/>
                <w:color w:val="auto"/>
                <w:sz w:val="20"/>
                <w:szCs w:val="20"/>
              </w:rPr>
            </w:pPr>
            <w:r w:rsidRPr="007624BA">
              <w:rPr>
                <w:rFonts w:ascii="Arial" w:hAnsi="Arial" w:cs="Arial"/>
                <w:i/>
                <w:color w:val="auto"/>
                <w:sz w:val="20"/>
                <w:szCs w:val="20"/>
              </w:rPr>
              <w:t xml:space="preserve">In this criterion the learner is required </w:t>
            </w:r>
            <w:r w:rsidR="00D20E3A" w:rsidRPr="007624BA">
              <w:rPr>
                <w:rFonts w:ascii="Arial" w:hAnsi="Arial" w:cs="Arial"/>
                <w:i/>
                <w:color w:val="auto"/>
                <w:sz w:val="20"/>
                <w:szCs w:val="20"/>
              </w:rPr>
              <w:t xml:space="preserve">to identify and describe both essential and desirable business needs and their implications which may be included within the tender </w:t>
            </w:r>
          </w:p>
        </w:tc>
      </w:tr>
      <w:tr w:rsidR="00BA4FD1" w:rsidRPr="00D93199" w14:paraId="6807C4C5" w14:textId="77777777" w:rsidTr="00A53571">
        <w:tc>
          <w:tcPr>
            <w:tcW w:w="2245" w:type="dxa"/>
            <w:vMerge/>
          </w:tcPr>
          <w:p w14:paraId="6807C4BC" w14:textId="77777777" w:rsidR="00BA4FD1" w:rsidRPr="007624BA" w:rsidRDefault="00BA4FD1" w:rsidP="008A5C11">
            <w:pPr>
              <w:rPr>
                <w:rFonts w:ascii="Arial" w:hAnsi="Arial" w:cs="Arial"/>
                <w:sz w:val="20"/>
                <w:szCs w:val="20"/>
              </w:rPr>
            </w:pPr>
          </w:p>
        </w:tc>
        <w:tc>
          <w:tcPr>
            <w:tcW w:w="3330" w:type="dxa"/>
            <w:vMerge w:val="restart"/>
          </w:tcPr>
          <w:p w14:paraId="6807C4BD" w14:textId="77777777" w:rsidR="00521509" w:rsidRPr="007624BA" w:rsidRDefault="00BA4FD1" w:rsidP="00521509">
            <w:pPr>
              <w:pStyle w:val="Default"/>
              <w:rPr>
                <w:rFonts w:ascii="Arial" w:hAnsi="Arial" w:cs="Arial"/>
                <w:color w:val="auto"/>
                <w:sz w:val="20"/>
                <w:szCs w:val="20"/>
              </w:rPr>
            </w:pPr>
            <w:r w:rsidRPr="007624BA">
              <w:rPr>
                <w:rFonts w:ascii="Arial" w:hAnsi="Arial" w:cs="Arial"/>
                <w:color w:val="auto"/>
                <w:spacing w:val="-2"/>
                <w:sz w:val="20"/>
                <w:szCs w:val="20"/>
              </w:rPr>
              <w:t>1.3</w:t>
            </w:r>
            <w:r w:rsidR="00521509" w:rsidRPr="007624BA">
              <w:rPr>
                <w:rFonts w:ascii="Arial" w:hAnsi="Arial" w:cs="Arial"/>
                <w:color w:val="auto"/>
                <w:sz w:val="20"/>
                <w:szCs w:val="20"/>
              </w:rPr>
              <w:t xml:space="preserve"> Address all aspects of the specification including post-contractual requirements </w:t>
            </w:r>
          </w:p>
          <w:p w14:paraId="6807C4BE" w14:textId="77777777" w:rsidR="00521509" w:rsidRPr="007624BA" w:rsidRDefault="00BA4FD1" w:rsidP="00B909FB">
            <w:pPr>
              <w:pStyle w:val="Default"/>
              <w:rPr>
                <w:rFonts w:ascii="Arial" w:hAnsi="Arial" w:cs="Arial"/>
                <w:color w:val="auto"/>
                <w:sz w:val="20"/>
                <w:szCs w:val="20"/>
              </w:rPr>
            </w:pPr>
            <w:r w:rsidRPr="007624BA">
              <w:rPr>
                <w:rFonts w:ascii="Arial" w:hAnsi="Arial" w:cs="Arial"/>
                <w:color w:val="auto"/>
                <w:spacing w:val="-2"/>
                <w:sz w:val="20"/>
                <w:szCs w:val="20"/>
              </w:rPr>
              <w:t xml:space="preserve"> </w:t>
            </w:r>
          </w:p>
          <w:p w14:paraId="6807C4BF" w14:textId="77777777" w:rsidR="00521509" w:rsidRPr="007624BA" w:rsidRDefault="00521509" w:rsidP="00521509">
            <w:pPr>
              <w:pStyle w:val="Default"/>
              <w:rPr>
                <w:rFonts w:ascii="Arial" w:hAnsi="Arial" w:cs="Arial"/>
                <w:color w:val="auto"/>
                <w:sz w:val="20"/>
                <w:szCs w:val="20"/>
              </w:rPr>
            </w:pPr>
          </w:p>
          <w:p w14:paraId="6807C4C0" w14:textId="77777777" w:rsidR="00B909FB" w:rsidRPr="007624BA" w:rsidRDefault="00B909FB" w:rsidP="00B909FB">
            <w:pPr>
              <w:pStyle w:val="Default"/>
              <w:rPr>
                <w:rFonts w:ascii="Arial" w:hAnsi="Arial" w:cs="Arial"/>
                <w:color w:val="auto"/>
                <w:sz w:val="20"/>
                <w:szCs w:val="20"/>
              </w:rPr>
            </w:pPr>
          </w:p>
          <w:p w14:paraId="6807C4C1" w14:textId="77777777" w:rsidR="00B909FB" w:rsidRPr="007624BA" w:rsidRDefault="00B909FB" w:rsidP="00AE2310">
            <w:pPr>
              <w:spacing w:before="72"/>
              <w:ind w:right="432"/>
              <w:rPr>
                <w:rFonts w:ascii="Arial" w:hAnsi="Arial" w:cs="Arial"/>
                <w:spacing w:val="-2"/>
                <w:sz w:val="20"/>
                <w:szCs w:val="20"/>
              </w:rPr>
            </w:pPr>
          </w:p>
          <w:p w14:paraId="6807C4C2" w14:textId="77777777" w:rsidR="00BA4FD1" w:rsidRPr="007624BA" w:rsidRDefault="00BA4FD1" w:rsidP="00B909FB">
            <w:pPr>
              <w:pStyle w:val="Default"/>
              <w:rPr>
                <w:rFonts w:ascii="Arial" w:hAnsi="Arial" w:cs="Arial"/>
                <w:color w:val="auto"/>
                <w:spacing w:val="-2"/>
                <w:sz w:val="20"/>
                <w:szCs w:val="20"/>
              </w:rPr>
            </w:pPr>
          </w:p>
        </w:tc>
        <w:tc>
          <w:tcPr>
            <w:tcW w:w="7375" w:type="dxa"/>
          </w:tcPr>
          <w:p w14:paraId="6807C4C3" w14:textId="77777777" w:rsidR="00F81527" w:rsidRPr="007624BA" w:rsidRDefault="00F81527" w:rsidP="00F81527">
            <w:pPr>
              <w:rPr>
                <w:rFonts w:ascii="Arial" w:hAnsi="Arial" w:cs="Arial"/>
                <w:sz w:val="20"/>
                <w:szCs w:val="20"/>
                <w:lang w:val="en-GB"/>
              </w:rPr>
            </w:pPr>
            <w:r w:rsidRPr="007624BA">
              <w:rPr>
                <w:rFonts w:ascii="Arial" w:hAnsi="Arial" w:cs="Arial"/>
                <w:sz w:val="20"/>
                <w:szCs w:val="20"/>
                <w:lang w:val="en-GB"/>
              </w:rPr>
              <w:t>All aspects of the specification should be iden</w:t>
            </w:r>
            <w:r w:rsidR="009F3529" w:rsidRPr="007624BA">
              <w:rPr>
                <w:rFonts w:ascii="Arial" w:hAnsi="Arial" w:cs="Arial"/>
                <w:sz w:val="20"/>
                <w:szCs w:val="20"/>
                <w:lang w:val="en-GB"/>
              </w:rPr>
              <w:t>tified and addressed as set out in the organisation</w:t>
            </w:r>
            <w:r w:rsidR="0086387B" w:rsidRPr="007624BA">
              <w:rPr>
                <w:rFonts w:ascii="Arial" w:hAnsi="Arial" w:cs="Arial"/>
                <w:sz w:val="20"/>
                <w:szCs w:val="20"/>
                <w:lang w:val="en-GB"/>
              </w:rPr>
              <w:t>’</w:t>
            </w:r>
            <w:r w:rsidR="009F3529" w:rsidRPr="007624BA">
              <w:rPr>
                <w:rFonts w:ascii="Arial" w:hAnsi="Arial" w:cs="Arial"/>
                <w:sz w:val="20"/>
                <w:szCs w:val="20"/>
                <w:lang w:val="en-GB"/>
              </w:rPr>
              <w:t>s procurement policy</w:t>
            </w:r>
            <w:r w:rsidR="0086387B" w:rsidRPr="007624BA">
              <w:rPr>
                <w:rFonts w:ascii="Arial" w:hAnsi="Arial" w:cs="Arial"/>
                <w:sz w:val="20"/>
                <w:szCs w:val="20"/>
                <w:lang w:val="en-GB"/>
              </w:rPr>
              <w:t>. This should also include</w:t>
            </w:r>
            <w:r w:rsidR="009F3529" w:rsidRPr="007624BA">
              <w:rPr>
                <w:rFonts w:ascii="Arial" w:hAnsi="Arial" w:cs="Arial"/>
                <w:sz w:val="20"/>
                <w:szCs w:val="20"/>
                <w:lang w:val="en-GB"/>
              </w:rPr>
              <w:t xml:space="preserve"> p</w:t>
            </w:r>
            <w:r w:rsidR="009E6A14" w:rsidRPr="007624BA">
              <w:rPr>
                <w:rFonts w:ascii="Arial" w:hAnsi="Arial" w:cs="Arial"/>
                <w:sz w:val="20"/>
                <w:szCs w:val="20"/>
                <w:lang w:val="en-GB"/>
              </w:rPr>
              <w:t>ost- contractu</w:t>
            </w:r>
            <w:r w:rsidR="0086387B" w:rsidRPr="007624BA">
              <w:rPr>
                <w:rFonts w:ascii="Arial" w:hAnsi="Arial" w:cs="Arial"/>
                <w:sz w:val="20"/>
                <w:szCs w:val="20"/>
                <w:lang w:val="en-GB"/>
              </w:rPr>
              <w:t>al requirements such as</w:t>
            </w:r>
            <w:r w:rsidR="009F3529" w:rsidRPr="007624BA">
              <w:rPr>
                <w:rFonts w:ascii="Arial" w:hAnsi="Arial" w:cs="Arial"/>
                <w:sz w:val="20"/>
                <w:szCs w:val="20"/>
                <w:lang w:val="en-GB"/>
              </w:rPr>
              <w:t xml:space="preserve"> handover and eva</w:t>
            </w:r>
            <w:r w:rsidR="0086387B" w:rsidRPr="007624BA">
              <w:rPr>
                <w:rFonts w:ascii="Arial" w:hAnsi="Arial" w:cs="Arial"/>
                <w:sz w:val="20"/>
                <w:szCs w:val="20"/>
                <w:lang w:val="en-GB"/>
              </w:rPr>
              <w:t>luation of supplier performance.</w:t>
            </w:r>
          </w:p>
          <w:p w14:paraId="6807C4C4" w14:textId="77777777" w:rsidR="00F81527" w:rsidRPr="007624BA" w:rsidRDefault="00F81527" w:rsidP="00F81527">
            <w:pPr>
              <w:rPr>
                <w:rFonts w:ascii="Arial" w:hAnsi="Arial" w:cs="Arial"/>
                <w:sz w:val="20"/>
                <w:szCs w:val="20"/>
                <w:lang w:val="en-GB"/>
              </w:rPr>
            </w:pPr>
          </w:p>
        </w:tc>
      </w:tr>
      <w:tr w:rsidR="00BA4FD1" w:rsidRPr="00D93199" w14:paraId="6807C4C9" w14:textId="77777777" w:rsidTr="00CF727A">
        <w:trPr>
          <w:trHeight w:val="922"/>
        </w:trPr>
        <w:tc>
          <w:tcPr>
            <w:tcW w:w="2245" w:type="dxa"/>
            <w:vMerge/>
          </w:tcPr>
          <w:p w14:paraId="6807C4C6" w14:textId="77777777" w:rsidR="00BA4FD1" w:rsidRPr="007624BA" w:rsidRDefault="00BA4FD1" w:rsidP="008A5C11">
            <w:pPr>
              <w:rPr>
                <w:rFonts w:ascii="Arial" w:hAnsi="Arial" w:cs="Arial"/>
                <w:sz w:val="20"/>
                <w:szCs w:val="20"/>
              </w:rPr>
            </w:pPr>
          </w:p>
        </w:tc>
        <w:tc>
          <w:tcPr>
            <w:tcW w:w="3330" w:type="dxa"/>
            <w:vMerge/>
            <w:tcBorders>
              <w:bottom w:val="single" w:sz="4" w:space="0" w:color="auto"/>
            </w:tcBorders>
          </w:tcPr>
          <w:p w14:paraId="6807C4C7" w14:textId="77777777" w:rsidR="00BA4FD1" w:rsidRPr="007624BA" w:rsidRDefault="00BA4FD1" w:rsidP="008A5C11">
            <w:pPr>
              <w:rPr>
                <w:rFonts w:ascii="Arial" w:hAnsi="Arial" w:cs="Arial"/>
                <w:sz w:val="20"/>
                <w:szCs w:val="20"/>
              </w:rPr>
            </w:pPr>
          </w:p>
        </w:tc>
        <w:tc>
          <w:tcPr>
            <w:tcW w:w="7375" w:type="dxa"/>
          </w:tcPr>
          <w:p w14:paraId="6807C4C8" w14:textId="77777777" w:rsidR="00BA4FD1" w:rsidRPr="007624BA" w:rsidRDefault="00BA4FD1" w:rsidP="00F81527">
            <w:pPr>
              <w:pStyle w:val="Subtitle"/>
              <w:rPr>
                <w:rFonts w:ascii="Arial" w:hAnsi="Arial" w:cs="Arial"/>
                <w:i/>
                <w:color w:val="auto"/>
                <w:sz w:val="20"/>
                <w:szCs w:val="20"/>
              </w:rPr>
            </w:pPr>
            <w:r w:rsidRPr="007624BA">
              <w:rPr>
                <w:rFonts w:ascii="Arial" w:hAnsi="Arial" w:cs="Arial"/>
                <w:i/>
                <w:color w:val="auto"/>
                <w:sz w:val="20"/>
                <w:szCs w:val="20"/>
              </w:rPr>
              <w:t>In this criterion the learner is required</w:t>
            </w:r>
            <w:r w:rsidR="0086387B" w:rsidRPr="007624BA">
              <w:rPr>
                <w:rFonts w:ascii="Arial" w:hAnsi="Arial" w:cs="Arial"/>
                <w:i/>
                <w:color w:val="auto"/>
                <w:sz w:val="20"/>
                <w:szCs w:val="20"/>
              </w:rPr>
              <w:t xml:space="preserve"> demonstrate how he or she has</w:t>
            </w:r>
            <w:r w:rsidR="00F81527" w:rsidRPr="007624BA">
              <w:rPr>
                <w:rFonts w:ascii="Arial" w:hAnsi="Arial" w:cs="Arial"/>
                <w:i/>
                <w:color w:val="auto"/>
                <w:sz w:val="20"/>
                <w:szCs w:val="20"/>
              </w:rPr>
              <w:t xml:space="preserve"> addressed</w:t>
            </w:r>
            <w:r w:rsidRPr="007624BA">
              <w:rPr>
                <w:rFonts w:ascii="Arial" w:hAnsi="Arial" w:cs="Arial"/>
                <w:i/>
                <w:color w:val="auto"/>
                <w:sz w:val="20"/>
                <w:szCs w:val="20"/>
              </w:rPr>
              <w:t xml:space="preserve"> </w:t>
            </w:r>
            <w:r w:rsidR="00F81527" w:rsidRPr="007624BA">
              <w:rPr>
                <w:rFonts w:ascii="Arial" w:hAnsi="Arial" w:cs="Arial"/>
                <w:i/>
                <w:color w:val="auto"/>
                <w:sz w:val="20"/>
                <w:szCs w:val="20"/>
              </w:rPr>
              <w:t>all aspects of the specification</w:t>
            </w:r>
            <w:r w:rsidR="00CF727A">
              <w:rPr>
                <w:rFonts w:ascii="Arial" w:hAnsi="Arial" w:cs="Arial"/>
                <w:i/>
                <w:color w:val="auto"/>
                <w:sz w:val="20"/>
                <w:szCs w:val="20"/>
              </w:rPr>
              <w:t>,</w:t>
            </w:r>
            <w:r w:rsidR="00F81527" w:rsidRPr="007624BA">
              <w:rPr>
                <w:rFonts w:ascii="Arial" w:hAnsi="Arial" w:cs="Arial"/>
                <w:i/>
                <w:color w:val="auto"/>
                <w:sz w:val="20"/>
                <w:szCs w:val="20"/>
              </w:rPr>
              <w:t xml:space="preserve"> including post-contractual requirements</w:t>
            </w:r>
            <w:r w:rsidR="009E6A14" w:rsidRPr="007624BA">
              <w:rPr>
                <w:rFonts w:ascii="Arial" w:hAnsi="Arial" w:cs="Arial"/>
                <w:i/>
                <w:color w:val="auto"/>
                <w:sz w:val="20"/>
                <w:szCs w:val="20"/>
              </w:rPr>
              <w:t>. This should be supported by reference to the tender specification</w:t>
            </w:r>
            <w:r w:rsidR="006C45CC" w:rsidRPr="007624BA">
              <w:rPr>
                <w:rFonts w:ascii="Arial" w:hAnsi="Arial" w:cs="Arial"/>
                <w:i/>
                <w:color w:val="auto"/>
                <w:sz w:val="20"/>
                <w:szCs w:val="20"/>
              </w:rPr>
              <w:t xml:space="preserve"> document.</w:t>
            </w:r>
          </w:p>
        </w:tc>
      </w:tr>
      <w:tr w:rsidR="00BA4FD1" w:rsidRPr="00D93199" w14:paraId="6807C4D1" w14:textId="77777777" w:rsidTr="00A6546D">
        <w:trPr>
          <w:trHeight w:val="408"/>
        </w:trPr>
        <w:tc>
          <w:tcPr>
            <w:tcW w:w="2245" w:type="dxa"/>
            <w:vMerge/>
          </w:tcPr>
          <w:p w14:paraId="6807C4CA" w14:textId="77777777" w:rsidR="00BA4FD1" w:rsidRPr="007624BA" w:rsidRDefault="00BA4FD1" w:rsidP="008A5C11">
            <w:pPr>
              <w:rPr>
                <w:rFonts w:ascii="Arial" w:hAnsi="Arial" w:cs="Arial"/>
                <w:sz w:val="20"/>
                <w:szCs w:val="20"/>
              </w:rPr>
            </w:pPr>
          </w:p>
        </w:tc>
        <w:tc>
          <w:tcPr>
            <w:tcW w:w="3330" w:type="dxa"/>
            <w:vMerge w:val="restart"/>
            <w:tcBorders>
              <w:top w:val="single" w:sz="4" w:space="0" w:color="auto"/>
            </w:tcBorders>
          </w:tcPr>
          <w:p w14:paraId="6807C4CB" w14:textId="77777777" w:rsidR="00B909FB" w:rsidRPr="007624BA" w:rsidRDefault="00BA4FD1" w:rsidP="00B909FB">
            <w:pPr>
              <w:pStyle w:val="Default"/>
              <w:rPr>
                <w:rFonts w:ascii="Arial" w:hAnsi="Arial" w:cs="Arial"/>
                <w:color w:val="auto"/>
                <w:sz w:val="20"/>
                <w:szCs w:val="20"/>
              </w:rPr>
            </w:pPr>
            <w:r w:rsidRPr="007624BA">
              <w:rPr>
                <w:rFonts w:ascii="Arial" w:hAnsi="Arial" w:cs="Arial"/>
                <w:color w:val="auto"/>
                <w:sz w:val="20"/>
                <w:szCs w:val="20"/>
              </w:rPr>
              <w:t>1.4.</w:t>
            </w:r>
            <w:r w:rsidR="00B909FB" w:rsidRPr="007624BA">
              <w:rPr>
                <w:rFonts w:ascii="Arial" w:hAnsi="Arial" w:cs="Arial"/>
                <w:color w:val="auto"/>
                <w:sz w:val="20"/>
                <w:szCs w:val="20"/>
              </w:rPr>
              <w:t xml:space="preserve"> Allocate priorities within the tender specification in accordance with business needs </w:t>
            </w:r>
          </w:p>
          <w:p w14:paraId="6807C4CC" w14:textId="77777777" w:rsidR="00B909FB" w:rsidRPr="007624BA" w:rsidRDefault="00B909FB" w:rsidP="00AE2310">
            <w:pPr>
              <w:spacing w:before="72"/>
              <w:ind w:right="432"/>
              <w:rPr>
                <w:rFonts w:ascii="Arial" w:hAnsi="Arial" w:cs="Arial"/>
                <w:sz w:val="20"/>
                <w:szCs w:val="20"/>
              </w:rPr>
            </w:pPr>
          </w:p>
          <w:p w14:paraId="6807C4CD" w14:textId="77777777" w:rsidR="00B909FB" w:rsidRPr="007624BA" w:rsidRDefault="00B909FB" w:rsidP="00B909FB">
            <w:pPr>
              <w:pStyle w:val="Default"/>
              <w:rPr>
                <w:rFonts w:ascii="Arial" w:hAnsi="Arial" w:cs="Arial"/>
                <w:color w:val="auto"/>
                <w:sz w:val="20"/>
                <w:szCs w:val="20"/>
              </w:rPr>
            </w:pPr>
          </w:p>
          <w:p w14:paraId="6807C4CE" w14:textId="77777777" w:rsidR="00BA4FD1" w:rsidRPr="007624BA" w:rsidRDefault="00BA4FD1" w:rsidP="00B909FB">
            <w:pPr>
              <w:pStyle w:val="Default"/>
              <w:rPr>
                <w:rFonts w:ascii="Arial" w:hAnsi="Arial" w:cs="Arial"/>
                <w:color w:val="auto"/>
                <w:sz w:val="20"/>
                <w:szCs w:val="20"/>
              </w:rPr>
            </w:pPr>
          </w:p>
        </w:tc>
        <w:tc>
          <w:tcPr>
            <w:tcW w:w="7375" w:type="dxa"/>
          </w:tcPr>
          <w:p w14:paraId="6807C4CF" w14:textId="77777777" w:rsidR="00BA4FD1" w:rsidRPr="007624BA" w:rsidRDefault="00AC0556" w:rsidP="00AE2310">
            <w:pPr>
              <w:rPr>
                <w:rFonts w:ascii="Arial" w:hAnsi="Arial" w:cs="Arial"/>
                <w:sz w:val="20"/>
                <w:szCs w:val="20"/>
              </w:rPr>
            </w:pPr>
            <w:r w:rsidRPr="007624BA">
              <w:rPr>
                <w:rFonts w:ascii="Arial" w:hAnsi="Arial" w:cs="Arial"/>
                <w:sz w:val="20"/>
                <w:szCs w:val="20"/>
              </w:rPr>
              <w:t xml:space="preserve">Priorities within the tender specification should be set in accordance with </w:t>
            </w:r>
            <w:r w:rsidR="009F3529" w:rsidRPr="007624BA">
              <w:rPr>
                <w:rFonts w:ascii="Arial" w:hAnsi="Arial" w:cs="Arial"/>
                <w:sz w:val="20"/>
                <w:szCs w:val="20"/>
              </w:rPr>
              <w:t xml:space="preserve"> defined essential and desirable business needs </w:t>
            </w:r>
          </w:p>
          <w:p w14:paraId="6807C4D0" w14:textId="77777777" w:rsidR="006C45CC" w:rsidRPr="007624BA" w:rsidRDefault="006C45CC" w:rsidP="00AE2310">
            <w:pPr>
              <w:rPr>
                <w:rFonts w:ascii="Arial" w:hAnsi="Arial" w:cs="Arial"/>
                <w:sz w:val="20"/>
                <w:szCs w:val="20"/>
              </w:rPr>
            </w:pPr>
          </w:p>
        </w:tc>
      </w:tr>
      <w:tr w:rsidR="00BA4FD1" w:rsidRPr="00D93199" w14:paraId="6807C4D5" w14:textId="77777777" w:rsidTr="00980E69">
        <w:trPr>
          <w:trHeight w:val="407"/>
        </w:trPr>
        <w:tc>
          <w:tcPr>
            <w:tcW w:w="2245" w:type="dxa"/>
            <w:vMerge/>
          </w:tcPr>
          <w:p w14:paraId="6807C4D2" w14:textId="77777777" w:rsidR="00BA4FD1" w:rsidRPr="007624BA" w:rsidRDefault="00BA4FD1" w:rsidP="008A5C11">
            <w:pPr>
              <w:rPr>
                <w:rFonts w:ascii="Arial" w:hAnsi="Arial" w:cs="Arial"/>
                <w:sz w:val="20"/>
                <w:szCs w:val="20"/>
              </w:rPr>
            </w:pPr>
          </w:p>
        </w:tc>
        <w:tc>
          <w:tcPr>
            <w:tcW w:w="3330" w:type="dxa"/>
            <w:vMerge/>
            <w:tcBorders>
              <w:bottom w:val="single" w:sz="4" w:space="0" w:color="auto"/>
            </w:tcBorders>
          </w:tcPr>
          <w:p w14:paraId="6807C4D3" w14:textId="77777777" w:rsidR="00BA4FD1" w:rsidRPr="007624BA" w:rsidRDefault="00BA4FD1" w:rsidP="00B16C86">
            <w:pPr>
              <w:spacing w:before="72"/>
              <w:ind w:right="432"/>
              <w:rPr>
                <w:rFonts w:ascii="Arial" w:hAnsi="Arial" w:cs="Arial"/>
                <w:sz w:val="20"/>
                <w:szCs w:val="20"/>
              </w:rPr>
            </w:pPr>
          </w:p>
        </w:tc>
        <w:tc>
          <w:tcPr>
            <w:tcW w:w="7375" w:type="dxa"/>
          </w:tcPr>
          <w:p w14:paraId="6807C4D4" w14:textId="77777777" w:rsidR="00BA4FD1" w:rsidRPr="007624BA" w:rsidRDefault="00BA4FD1" w:rsidP="00B70CC9">
            <w:pPr>
              <w:pStyle w:val="Subtitle"/>
              <w:rPr>
                <w:rFonts w:ascii="Arial" w:hAnsi="Arial" w:cs="Arial"/>
                <w:i/>
                <w:color w:val="auto"/>
                <w:sz w:val="20"/>
                <w:szCs w:val="20"/>
              </w:rPr>
            </w:pPr>
            <w:r w:rsidRPr="007624BA">
              <w:rPr>
                <w:rFonts w:ascii="Arial" w:hAnsi="Arial" w:cs="Arial"/>
                <w:i/>
                <w:color w:val="auto"/>
                <w:sz w:val="20"/>
                <w:szCs w:val="20"/>
              </w:rPr>
              <w:t xml:space="preserve">In this criterion the learner is required </w:t>
            </w:r>
            <w:r w:rsidR="0086387B" w:rsidRPr="007624BA">
              <w:rPr>
                <w:rFonts w:ascii="Arial" w:hAnsi="Arial" w:cs="Arial"/>
                <w:i/>
                <w:color w:val="auto"/>
                <w:sz w:val="20"/>
                <w:szCs w:val="20"/>
              </w:rPr>
              <w:t>to demonstrate how he or she has</w:t>
            </w:r>
            <w:r w:rsidR="009E6A14" w:rsidRPr="007624BA">
              <w:rPr>
                <w:rFonts w:ascii="Arial" w:hAnsi="Arial" w:cs="Arial"/>
                <w:i/>
                <w:color w:val="auto"/>
                <w:sz w:val="20"/>
                <w:szCs w:val="20"/>
              </w:rPr>
              <w:t xml:space="preserve"> allocated priorities within the tender specification in accordance with business needs. This should be supported by reference to the tender specification</w:t>
            </w:r>
          </w:p>
        </w:tc>
      </w:tr>
      <w:tr w:rsidR="00BA4FD1" w:rsidRPr="00D93199" w14:paraId="6807C4DD" w14:textId="77777777" w:rsidTr="00980E69">
        <w:trPr>
          <w:trHeight w:val="521"/>
        </w:trPr>
        <w:tc>
          <w:tcPr>
            <w:tcW w:w="2245" w:type="dxa"/>
            <w:vMerge/>
          </w:tcPr>
          <w:p w14:paraId="6807C4D6" w14:textId="77777777" w:rsidR="00BA4FD1" w:rsidRDefault="00BA4FD1" w:rsidP="008A5C11"/>
        </w:tc>
        <w:tc>
          <w:tcPr>
            <w:tcW w:w="3330" w:type="dxa"/>
            <w:vMerge w:val="restart"/>
            <w:tcBorders>
              <w:top w:val="single" w:sz="4" w:space="0" w:color="auto"/>
            </w:tcBorders>
          </w:tcPr>
          <w:p w14:paraId="6807C4D7" w14:textId="77777777" w:rsidR="00B909FB" w:rsidRPr="00B70CC9" w:rsidRDefault="00BA4FD1" w:rsidP="00B909FB">
            <w:pPr>
              <w:pStyle w:val="Default"/>
              <w:rPr>
                <w:rFonts w:ascii="Arial" w:hAnsi="Arial" w:cs="Arial"/>
                <w:color w:val="auto"/>
                <w:sz w:val="20"/>
                <w:szCs w:val="20"/>
              </w:rPr>
            </w:pPr>
            <w:r w:rsidRPr="00B70CC9">
              <w:rPr>
                <w:rFonts w:ascii="Arial" w:hAnsi="Arial" w:cs="Arial"/>
                <w:color w:val="auto"/>
                <w:sz w:val="20"/>
                <w:szCs w:val="20"/>
              </w:rPr>
              <w:t xml:space="preserve">1.5 </w:t>
            </w:r>
            <w:r w:rsidR="00B909FB" w:rsidRPr="00B70CC9">
              <w:rPr>
                <w:rFonts w:ascii="Arial" w:hAnsi="Arial" w:cs="Arial"/>
                <w:color w:val="auto"/>
                <w:sz w:val="20"/>
                <w:szCs w:val="20"/>
              </w:rPr>
              <w:t xml:space="preserve">Establish criteria and ranking systems to evaluate tenders in accordance with organisational procurement policies </w:t>
            </w:r>
          </w:p>
          <w:p w14:paraId="6807C4D8" w14:textId="77777777" w:rsidR="00B909FB" w:rsidRPr="00B70CC9" w:rsidRDefault="00B909FB" w:rsidP="00AE2310">
            <w:pPr>
              <w:rPr>
                <w:rFonts w:ascii="Arial" w:hAnsi="Arial" w:cs="Arial"/>
                <w:sz w:val="20"/>
                <w:szCs w:val="20"/>
              </w:rPr>
            </w:pPr>
          </w:p>
          <w:p w14:paraId="6807C4D9" w14:textId="77777777" w:rsidR="00B909FB" w:rsidRPr="00B70CC9" w:rsidRDefault="00B909FB" w:rsidP="00B909FB">
            <w:pPr>
              <w:pStyle w:val="Default"/>
              <w:rPr>
                <w:rFonts w:ascii="Arial" w:hAnsi="Arial" w:cs="Arial"/>
                <w:color w:val="auto"/>
                <w:sz w:val="20"/>
                <w:szCs w:val="20"/>
              </w:rPr>
            </w:pPr>
          </w:p>
          <w:p w14:paraId="6807C4DA" w14:textId="77777777" w:rsidR="00BA4FD1" w:rsidRPr="00B70CC9" w:rsidRDefault="00BA4FD1" w:rsidP="00B909FB">
            <w:pPr>
              <w:pStyle w:val="Default"/>
              <w:rPr>
                <w:rFonts w:ascii="Arial" w:hAnsi="Arial" w:cs="Arial"/>
                <w:color w:val="auto"/>
                <w:sz w:val="20"/>
                <w:szCs w:val="20"/>
              </w:rPr>
            </w:pPr>
          </w:p>
        </w:tc>
        <w:tc>
          <w:tcPr>
            <w:tcW w:w="7375" w:type="dxa"/>
          </w:tcPr>
          <w:p w14:paraId="6807C4DB" w14:textId="77777777" w:rsidR="00BA4FD1" w:rsidRPr="00B70CC9" w:rsidRDefault="00AC0556" w:rsidP="00AE2310">
            <w:pPr>
              <w:rPr>
                <w:rFonts w:ascii="Arial" w:hAnsi="Arial" w:cs="Arial"/>
                <w:sz w:val="20"/>
                <w:szCs w:val="20"/>
                <w:shd w:val="clear" w:color="auto" w:fill="FFFFFF"/>
              </w:rPr>
            </w:pPr>
            <w:r w:rsidRPr="00B70CC9">
              <w:rPr>
                <w:rFonts w:ascii="Arial" w:hAnsi="Arial" w:cs="Arial"/>
                <w:sz w:val="20"/>
                <w:szCs w:val="20"/>
                <w:shd w:val="clear" w:color="auto" w:fill="FFFFFF"/>
              </w:rPr>
              <w:t xml:space="preserve">To ensure a robust and consistent approach to the tendering process </w:t>
            </w:r>
            <w:proofErr w:type="spellStart"/>
            <w:r w:rsidRPr="00B70CC9">
              <w:rPr>
                <w:rFonts w:ascii="Arial" w:hAnsi="Arial" w:cs="Arial"/>
                <w:sz w:val="20"/>
                <w:szCs w:val="20"/>
                <w:shd w:val="clear" w:color="auto" w:fill="FFFFFF"/>
              </w:rPr>
              <w:t>organisations</w:t>
            </w:r>
            <w:proofErr w:type="spellEnd"/>
            <w:r w:rsidRPr="00B70CC9">
              <w:rPr>
                <w:rFonts w:ascii="Arial" w:hAnsi="Arial" w:cs="Arial"/>
                <w:sz w:val="20"/>
                <w:szCs w:val="20"/>
                <w:shd w:val="clear" w:color="auto" w:fill="FFFFFF"/>
              </w:rPr>
              <w:t xml:space="preserve"> will normally ha</w:t>
            </w:r>
            <w:r w:rsidR="009F3529" w:rsidRPr="00B70CC9">
              <w:rPr>
                <w:rFonts w:ascii="Arial" w:hAnsi="Arial" w:cs="Arial"/>
                <w:sz w:val="20"/>
                <w:szCs w:val="20"/>
                <w:shd w:val="clear" w:color="auto" w:fill="FFFFFF"/>
              </w:rPr>
              <w:t>ve procurement policies that set out the procedure to be followed.</w:t>
            </w:r>
            <w:r w:rsidR="0086387B" w:rsidRPr="00B70CC9">
              <w:rPr>
                <w:rFonts w:ascii="Arial" w:hAnsi="Arial" w:cs="Arial"/>
                <w:sz w:val="20"/>
                <w:szCs w:val="20"/>
                <w:shd w:val="clear" w:color="auto" w:fill="FFFFFF"/>
              </w:rPr>
              <w:t xml:space="preserve"> This will include the process which must be followed for setting</w:t>
            </w:r>
            <w:r w:rsidR="009F3529" w:rsidRPr="00B70CC9">
              <w:rPr>
                <w:rFonts w:ascii="Arial" w:hAnsi="Arial" w:cs="Arial"/>
                <w:sz w:val="20"/>
                <w:szCs w:val="20"/>
                <w:shd w:val="clear" w:color="auto" w:fill="FFFFFF"/>
              </w:rPr>
              <w:t xml:space="preserve"> </w:t>
            </w:r>
            <w:r w:rsidRPr="00B70CC9">
              <w:rPr>
                <w:rFonts w:ascii="Arial" w:hAnsi="Arial" w:cs="Arial"/>
                <w:sz w:val="20"/>
                <w:szCs w:val="20"/>
                <w:shd w:val="clear" w:color="auto" w:fill="FFFFFF"/>
              </w:rPr>
              <w:t xml:space="preserve">out the criteria for </w:t>
            </w:r>
            <w:r w:rsidR="0086387B" w:rsidRPr="00B70CC9">
              <w:rPr>
                <w:rFonts w:ascii="Arial" w:hAnsi="Arial" w:cs="Arial"/>
                <w:sz w:val="20"/>
                <w:szCs w:val="20"/>
                <w:shd w:val="clear" w:color="auto" w:fill="FFFFFF"/>
              </w:rPr>
              <w:t>evaluating and ranking tender applications</w:t>
            </w:r>
            <w:r w:rsidRPr="00B70CC9">
              <w:rPr>
                <w:rFonts w:ascii="Arial" w:hAnsi="Arial" w:cs="Arial"/>
                <w:sz w:val="20"/>
                <w:szCs w:val="20"/>
                <w:shd w:val="clear" w:color="auto" w:fill="FFFFFF"/>
              </w:rPr>
              <w:t>. The lear</w:t>
            </w:r>
            <w:r w:rsidR="00ED0F25" w:rsidRPr="00B70CC9">
              <w:rPr>
                <w:rFonts w:ascii="Arial" w:hAnsi="Arial" w:cs="Arial"/>
                <w:sz w:val="20"/>
                <w:szCs w:val="20"/>
                <w:shd w:val="clear" w:color="auto" w:fill="FFFFFF"/>
              </w:rPr>
              <w:t xml:space="preserve">ner should be fully aware of </w:t>
            </w:r>
            <w:r w:rsidRPr="00B70CC9">
              <w:rPr>
                <w:rFonts w:ascii="Arial" w:hAnsi="Arial" w:cs="Arial"/>
                <w:sz w:val="20"/>
                <w:szCs w:val="20"/>
                <w:shd w:val="clear" w:color="auto" w:fill="FFFFFF"/>
              </w:rPr>
              <w:t>the requirements of such policies</w:t>
            </w:r>
            <w:r w:rsidR="006C45CC" w:rsidRPr="00B70CC9">
              <w:rPr>
                <w:rFonts w:ascii="Arial" w:hAnsi="Arial" w:cs="Arial"/>
                <w:sz w:val="20"/>
                <w:szCs w:val="20"/>
                <w:shd w:val="clear" w:color="auto" w:fill="FFFFFF"/>
              </w:rPr>
              <w:t>.</w:t>
            </w:r>
          </w:p>
          <w:p w14:paraId="6807C4DC" w14:textId="77777777" w:rsidR="006C45CC" w:rsidRPr="00B70CC9" w:rsidRDefault="006C45CC" w:rsidP="00AE2310">
            <w:pPr>
              <w:rPr>
                <w:rFonts w:ascii="Arial" w:hAnsi="Arial" w:cs="Arial"/>
                <w:sz w:val="20"/>
                <w:szCs w:val="20"/>
                <w:shd w:val="clear" w:color="auto" w:fill="FFFFFF"/>
              </w:rPr>
            </w:pPr>
          </w:p>
        </w:tc>
      </w:tr>
      <w:tr w:rsidR="00BA4FD1" w:rsidRPr="00D93199" w14:paraId="6807C4E1" w14:textId="77777777" w:rsidTr="00233E62">
        <w:trPr>
          <w:trHeight w:val="520"/>
        </w:trPr>
        <w:tc>
          <w:tcPr>
            <w:tcW w:w="2245" w:type="dxa"/>
            <w:vMerge/>
            <w:tcBorders>
              <w:bottom w:val="single" w:sz="4" w:space="0" w:color="auto"/>
            </w:tcBorders>
          </w:tcPr>
          <w:p w14:paraId="6807C4DE" w14:textId="77777777" w:rsidR="00BA4FD1" w:rsidRDefault="00BA4FD1" w:rsidP="008A5C11"/>
        </w:tc>
        <w:tc>
          <w:tcPr>
            <w:tcW w:w="3330" w:type="dxa"/>
            <w:vMerge/>
            <w:tcBorders>
              <w:bottom w:val="single" w:sz="4" w:space="0" w:color="auto"/>
            </w:tcBorders>
          </w:tcPr>
          <w:p w14:paraId="6807C4DF" w14:textId="77777777" w:rsidR="00BA4FD1" w:rsidRPr="00B70CC9" w:rsidRDefault="00BA4FD1" w:rsidP="008A5C11">
            <w:pPr>
              <w:rPr>
                <w:rFonts w:ascii="Arial" w:hAnsi="Arial" w:cs="Arial"/>
                <w:sz w:val="20"/>
                <w:szCs w:val="20"/>
              </w:rPr>
            </w:pPr>
          </w:p>
        </w:tc>
        <w:tc>
          <w:tcPr>
            <w:tcW w:w="7375" w:type="dxa"/>
          </w:tcPr>
          <w:p w14:paraId="6807C4E0" w14:textId="77777777" w:rsidR="00BA4FD1" w:rsidRPr="00B70CC9" w:rsidRDefault="00BA4FD1" w:rsidP="00A102BA">
            <w:pPr>
              <w:pStyle w:val="Subtitle"/>
              <w:rPr>
                <w:rFonts w:ascii="Arial" w:hAnsi="Arial" w:cs="Arial"/>
                <w:i/>
                <w:color w:val="auto"/>
                <w:sz w:val="20"/>
                <w:szCs w:val="20"/>
              </w:rPr>
            </w:pPr>
            <w:r w:rsidRPr="00B70CC9">
              <w:rPr>
                <w:rFonts w:ascii="Arial" w:hAnsi="Arial" w:cs="Arial"/>
                <w:i/>
                <w:color w:val="auto"/>
                <w:sz w:val="20"/>
                <w:szCs w:val="20"/>
              </w:rPr>
              <w:t xml:space="preserve">In this criterion the learner is required to </w:t>
            </w:r>
            <w:r w:rsidR="00A102BA" w:rsidRPr="00B70CC9">
              <w:rPr>
                <w:rFonts w:ascii="Arial" w:hAnsi="Arial" w:cs="Arial"/>
                <w:i/>
                <w:color w:val="auto"/>
                <w:sz w:val="20"/>
                <w:szCs w:val="20"/>
              </w:rPr>
              <w:t xml:space="preserve">establish criteria and ranking systems to evaluate tenders in accordance with </w:t>
            </w:r>
            <w:proofErr w:type="spellStart"/>
            <w:r w:rsidR="00A102BA" w:rsidRPr="00B70CC9">
              <w:rPr>
                <w:rFonts w:ascii="Arial" w:hAnsi="Arial" w:cs="Arial"/>
                <w:i/>
                <w:color w:val="auto"/>
                <w:sz w:val="20"/>
                <w:szCs w:val="20"/>
              </w:rPr>
              <w:t>organisational</w:t>
            </w:r>
            <w:proofErr w:type="spellEnd"/>
            <w:r w:rsidR="00A102BA" w:rsidRPr="00B70CC9">
              <w:rPr>
                <w:rFonts w:ascii="Arial" w:hAnsi="Arial" w:cs="Arial"/>
                <w:i/>
                <w:color w:val="auto"/>
                <w:sz w:val="20"/>
                <w:szCs w:val="20"/>
              </w:rPr>
              <w:t xml:space="preserve"> procurement policies</w:t>
            </w:r>
            <w:r w:rsidR="00AC0556" w:rsidRPr="00B70CC9">
              <w:rPr>
                <w:rFonts w:ascii="Arial" w:hAnsi="Arial" w:cs="Arial"/>
                <w:i/>
                <w:color w:val="auto"/>
                <w:sz w:val="20"/>
                <w:szCs w:val="20"/>
              </w:rPr>
              <w:t xml:space="preserve"> and to describe the rationale behind the criteria set</w:t>
            </w:r>
            <w:r w:rsidR="006C45CC" w:rsidRPr="00B70CC9">
              <w:rPr>
                <w:rFonts w:ascii="Arial" w:hAnsi="Arial" w:cs="Arial"/>
                <w:i/>
                <w:color w:val="auto"/>
                <w:sz w:val="20"/>
                <w:szCs w:val="20"/>
              </w:rPr>
              <w:t>.</w:t>
            </w:r>
          </w:p>
        </w:tc>
      </w:tr>
      <w:tr w:rsidR="008E4B96" w:rsidRPr="00D93199" w14:paraId="6807C4E5" w14:textId="77777777" w:rsidTr="0011562D">
        <w:trPr>
          <w:trHeight w:val="520"/>
        </w:trPr>
        <w:tc>
          <w:tcPr>
            <w:tcW w:w="12950" w:type="dxa"/>
            <w:gridSpan w:val="3"/>
            <w:tcBorders>
              <w:bottom w:val="single" w:sz="4" w:space="0" w:color="auto"/>
            </w:tcBorders>
          </w:tcPr>
          <w:p w14:paraId="6807C4E2" w14:textId="77777777" w:rsidR="0086387B" w:rsidRDefault="0086387B" w:rsidP="008E4B96">
            <w:pPr>
              <w:pStyle w:val="Default"/>
            </w:pPr>
          </w:p>
          <w:p w14:paraId="6807C4E3" w14:textId="77777777" w:rsidR="008E4B96" w:rsidRPr="00317E22" w:rsidRDefault="008E4B96" w:rsidP="00317E22">
            <w:pPr>
              <w:pStyle w:val="Default"/>
              <w:jc w:val="center"/>
              <w:rPr>
                <w:rFonts w:ascii="Arial" w:hAnsi="Arial" w:cs="Arial"/>
                <w:sz w:val="20"/>
                <w:szCs w:val="20"/>
              </w:rPr>
            </w:pPr>
            <w:r w:rsidRPr="00317E22">
              <w:rPr>
                <w:rFonts w:ascii="Arial" w:hAnsi="Arial" w:cs="Arial"/>
                <w:sz w:val="20"/>
                <w:szCs w:val="20"/>
              </w:rPr>
              <w:t>This section requires the learner to show, with supporting evidence, how they have managed a tendering exercise</w:t>
            </w:r>
          </w:p>
          <w:p w14:paraId="6807C4E4" w14:textId="77777777" w:rsidR="008E4B96" w:rsidRPr="00A102BA" w:rsidRDefault="008E4B96" w:rsidP="00A102BA">
            <w:pPr>
              <w:pStyle w:val="Subtitle"/>
              <w:rPr>
                <w:i/>
              </w:rPr>
            </w:pPr>
          </w:p>
        </w:tc>
      </w:tr>
      <w:tr w:rsidR="005C4090" w:rsidRPr="00D93199" w14:paraId="6807C515" w14:textId="77777777" w:rsidTr="00F07040">
        <w:trPr>
          <w:trHeight w:val="256"/>
        </w:trPr>
        <w:tc>
          <w:tcPr>
            <w:tcW w:w="2245" w:type="dxa"/>
            <w:vMerge w:val="restart"/>
            <w:tcBorders>
              <w:top w:val="single" w:sz="4" w:space="0" w:color="auto"/>
            </w:tcBorders>
          </w:tcPr>
          <w:p w14:paraId="6807C4E6" w14:textId="77777777" w:rsidR="005C4090" w:rsidRPr="00750E67" w:rsidRDefault="005C4090" w:rsidP="00124EA5">
            <w:pPr>
              <w:pStyle w:val="Default"/>
              <w:rPr>
                <w:rFonts w:ascii="Arial" w:hAnsi="Arial" w:cs="Arial"/>
                <w:color w:val="auto"/>
                <w:sz w:val="20"/>
                <w:szCs w:val="20"/>
              </w:rPr>
            </w:pPr>
            <w:r w:rsidRPr="00750E67">
              <w:rPr>
                <w:rFonts w:ascii="Arial" w:hAnsi="Arial" w:cs="Arial"/>
                <w:color w:val="auto"/>
                <w:sz w:val="20"/>
                <w:szCs w:val="20"/>
              </w:rPr>
              <w:t xml:space="preserve">2. </w:t>
            </w:r>
            <w:r w:rsidRPr="00750E67">
              <w:rPr>
                <w:rFonts w:ascii="Arial" w:hAnsi="Arial" w:cs="Arial"/>
                <w:color w:val="auto"/>
                <w:spacing w:val="-5"/>
                <w:sz w:val="20"/>
                <w:szCs w:val="20"/>
              </w:rPr>
              <w:t xml:space="preserve">Be able </w:t>
            </w:r>
            <w:r w:rsidRPr="00750E67">
              <w:rPr>
                <w:rFonts w:ascii="Arial" w:hAnsi="Arial" w:cs="Arial"/>
                <w:color w:val="auto"/>
                <w:sz w:val="20"/>
                <w:szCs w:val="20"/>
              </w:rPr>
              <w:t xml:space="preserve">to manage a tendering exercise </w:t>
            </w:r>
          </w:p>
          <w:p w14:paraId="6807C4E7" w14:textId="77777777" w:rsidR="005C4090" w:rsidRPr="00750E67" w:rsidRDefault="005C4090" w:rsidP="00AE2310">
            <w:pPr>
              <w:rPr>
                <w:rFonts w:ascii="Arial" w:hAnsi="Arial" w:cs="Arial"/>
                <w:sz w:val="20"/>
                <w:szCs w:val="20"/>
              </w:rPr>
            </w:pPr>
          </w:p>
          <w:p w14:paraId="6807C4E8" w14:textId="77777777" w:rsidR="005C4090" w:rsidRPr="00750E67" w:rsidRDefault="005C4090" w:rsidP="00124EA5">
            <w:pPr>
              <w:pStyle w:val="Default"/>
              <w:rPr>
                <w:rFonts w:ascii="Arial" w:hAnsi="Arial" w:cs="Arial"/>
                <w:color w:val="auto"/>
                <w:sz w:val="20"/>
                <w:szCs w:val="20"/>
              </w:rPr>
            </w:pPr>
          </w:p>
          <w:p w14:paraId="6807C4E9" w14:textId="77777777" w:rsidR="005C4090" w:rsidRDefault="005C4090" w:rsidP="00124EA5">
            <w:pPr>
              <w:pStyle w:val="Default"/>
              <w:rPr>
                <w:rFonts w:ascii="Arial" w:hAnsi="Arial" w:cs="Arial"/>
                <w:color w:val="auto"/>
                <w:sz w:val="20"/>
                <w:szCs w:val="20"/>
              </w:rPr>
            </w:pPr>
          </w:p>
          <w:p w14:paraId="6807C4EA" w14:textId="77777777" w:rsidR="005C4090" w:rsidRDefault="005C4090" w:rsidP="00124EA5">
            <w:pPr>
              <w:pStyle w:val="Default"/>
              <w:rPr>
                <w:rFonts w:ascii="Arial" w:hAnsi="Arial" w:cs="Arial"/>
                <w:color w:val="auto"/>
                <w:sz w:val="20"/>
                <w:szCs w:val="20"/>
              </w:rPr>
            </w:pPr>
          </w:p>
          <w:p w14:paraId="6807C4EB" w14:textId="77777777" w:rsidR="005C4090" w:rsidRDefault="005C4090" w:rsidP="00124EA5">
            <w:pPr>
              <w:pStyle w:val="Default"/>
              <w:rPr>
                <w:rFonts w:ascii="Arial" w:hAnsi="Arial" w:cs="Arial"/>
                <w:color w:val="auto"/>
                <w:sz w:val="20"/>
                <w:szCs w:val="20"/>
              </w:rPr>
            </w:pPr>
          </w:p>
          <w:p w14:paraId="6807C4EC" w14:textId="77777777" w:rsidR="005C4090" w:rsidRDefault="005C4090" w:rsidP="00124EA5">
            <w:pPr>
              <w:pStyle w:val="Default"/>
              <w:rPr>
                <w:rFonts w:ascii="Arial" w:hAnsi="Arial" w:cs="Arial"/>
                <w:color w:val="auto"/>
                <w:sz w:val="20"/>
                <w:szCs w:val="20"/>
              </w:rPr>
            </w:pPr>
          </w:p>
          <w:p w14:paraId="6807C4ED" w14:textId="77777777" w:rsidR="005C4090" w:rsidRDefault="005C4090" w:rsidP="00124EA5">
            <w:pPr>
              <w:pStyle w:val="Default"/>
              <w:rPr>
                <w:rFonts w:ascii="Arial" w:hAnsi="Arial" w:cs="Arial"/>
                <w:color w:val="auto"/>
                <w:sz w:val="20"/>
                <w:szCs w:val="20"/>
              </w:rPr>
            </w:pPr>
          </w:p>
          <w:p w14:paraId="6807C4EE" w14:textId="77777777" w:rsidR="005C4090" w:rsidRDefault="005C4090" w:rsidP="00124EA5">
            <w:pPr>
              <w:pStyle w:val="Default"/>
              <w:rPr>
                <w:rFonts w:ascii="Arial" w:hAnsi="Arial" w:cs="Arial"/>
                <w:color w:val="auto"/>
                <w:sz w:val="20"/>
                <w:szCs w:val="20"/>
              </w:rPr>
            </w:pPr>
          </w:p>
          <w:p w14:paraId="6807C4EF" w14:textId="77777777" w:rsidR="005C4090" w:rsidRDefault="005C4090" w:rsidP="00124EA5">
            <w:pPr>
              <w:pStyle w:val="Default"/>
              <w:rPr>
                <w:rFonts w:ascii="Arial" w:hAnsi="Arial" w:cs="Arial"/>
                <w:color w:val="auto"/>
                <w:sz w:val="20"/>
                <w:szCs w:val="20"/>
              </w:rPr>
            </w:pPr>
          </w:p>
          <w:p w14:paraId="6807C4F0" w14:textId="77777777" w:rsidR="005C4090" w:rsidRDefault="005C4090" w:rsidP="00124EA5">
            <w:pPr>
              <w:pStyle w:val="Default"/>
              <w:rPr>
                <w:rFonts w:ascii="Arial" w:hAnsi="Arial" w:cs="Arial"/>
                <w:color w:val="auto"/>
                <w:sz w:val="20"/>
                <w:szCs w:val="20"/>
              </w:rPr>
            </w:pPr>
          </w:p>
          <w:p w14:paraId="6807C4F1" w14:textId="77777777" w:rsidR="005C4090" w:rsidRDefault="005C4090" w:rsidP="00124EA5">
            <w:pPr>
              <w:pStyle w:val="Default"/>
              <w:rPr>
                <w:rFonts w:ascii="Arial" w:hAnsi="Arial" w:cs="Arial"/>
                <w:color w:val="auto"/>
                <w:sz w:val="20"/>
                <w:szCs w:val="20"/>
              </w:rPr>
            </w:pPr>
          </w:p>
          <w:p w14:paraId="6807C4F2" w14:textId="77777777" w:rsidR="005C4090" w:rsidRDefault="005C4090" w:rsidP="00124EA5">
            <w:pPr>
              <w:pStyle w:val="Default"/>
              <w:rPr>
                <w:rFonts w:ascii="Arial" w:hAnsi="Arial" w:cs="Arial"/>
                <w:color w:val="auto"/>
                <w:sz w:val="20"/>
                <w:szCs w:val="20"/>
              </w:rPr>
            </w:pPr>
          </w:p>
          <w:p w14:paraId="6807C4F3" w14:textId="77777777" w:rsidR="005C4090" w:rsidRDefault="005C4090" w:rsidP="00124EA5">
            <w:pPr>
              <w:pStyle w:val="Default"/>
              <w:rPr>
                <w:rFonts w:ascii="Arial" w:hAnsi="Arial" w:cs="Arial"/>
                <w:color w:val="auto"/>
                <w:sz w:val="20"/>
                <w:szCs w:val="20"/>
              </w:rPr>
            </w:pPr>
          </w:p>
          <w:p w14:paraId="6807C4F4" w14:textId="77777777" w:rsidR="005C4090" w:rsidRDefault="005C4090" w:rsidP="00124EA5">
            <w:pPr>
              <w:pStyle w:val="Default"/>
              <w:rPr>
                <w:rFonts w:ascii="Arial" w:hAnsi="Arial" w:cs="Arial"/>
                <w:color w:val="auto"/>
                <w:sz w:val="20"/>
                <w:szCs w:val="20"/>
              </w:rPr>
            </w:pPr>
          </w:p>
          <w:p w14:paraId="6807C4F5" w14:textId="77777777" w:rsidR="005C4090" w:rsidRDefault="005C4090" w:rsidP="00124EA5">
            <w:pPr>
              <w:pStyle w:val="Default"/>
              <w:rPr>
                <w:rFonts w:ascii="Arial" w:hAnsi="Arial" w:cs="Arial"/>
                <w:color w:val="auto"/>
                <w:sz w:val="20"/>
                <w:szCs w:val="20"/>
              </w:rPr>
            </w:pPr>
          </w:p>
          <w:p w14:paraId="6807C4F6" w14:textId="77777777" w:rsidR="005C4090" w:rsidRDefault="005C4090" w:rsidP="00124EA5">
            <w:pPr>
              <w:pStyle w:val="Default"/>
              <w:rPr>
                <w:rFonts w:ascii="Arial" w:hAnsi="Arial" w:cs="Arial"/>
                <w:color w:val="auto"/>
                <w:sz w:val="20"/>
                <w:szCs w:val="20"/>
              </w:rPr>
            </w:pPr>
          </w:p>
          <w:p w14:paraId="6807C4F7" w14:textId="77777777" w:rsidR="005C4090" w:rsidRDefault="005C4090" w:rsidP="00124EA5">
            <w:pPr>
              <w:pStyle w:val="Default"/>
              <w:rPr>
                <w:rFonts w:ascii="Arial" w:hAnsi="Arial" w:cs="Arial"/>
                <w:color w:val="auto"/>
                <w:sz w:val="20"/>
                <w:szCs w:val="20"/>
              </w:rPr>
            </w:pPr>
          </w:p>
          <w:p w14:paraId="6807C4F8" w14:textId="77777777" w:rsidR="005C4090" w:rsidRDefault="005C4090" w:rsidP="00124EA5">
            <w:pPr>
              <w:pStyle w:val="Default"/>
              <w:rPr>
                <w:rFonts w:ascii="Arial" w:hAnsi="Arial" w:cs="Arial"/>
                <w:color w:val="auto"/>
                <w:sz w:val="20"/>
                <w:szCs w:val="20"/>
              </w:rPr>
            </w:pPr>
          </w:p>
          <w:p w14:paraId="6807C4F9" w14:textId="77777777" w:rsidR="005C4090" w:rsidRDefault="005C4090" w:rsidP="00124EA5">
            <w:pPr>
              <w:pStyle w:val="Default"/>
              <w:rPr>
                <w:rFonts w:ascii="Arial" w:hAnsi="Arial" w:cs="Arial"/>
                <w:color w:val="auto"/>
                <w:sz w:val="20"/>
                <w:szCs w:val="20"/>
              </w:rPr>
            </w:pPr>
          </w:p>
          <w:p w14:paraId="6807C4FA" w14:textId="77777777" w:rsidR="005C4090" w:rsidRDefault="005C4090" w:rsidP="00124EA5">
            <w:pPr>
              <w:pStyle w:val="Default"/>
              <w:rPr>
                <w:rFonts w:ascii="Arial" w:hAnsi="Arial" w:cs="Arial"/>
                <w:color w:val="auto"/>
                <w:sz w:val="20"/>
                <w:szCs w:val="20"/>
              </w:rPr>
            </w:pPr>
          </w:p>
          <w:p w14:paraId="6807C4FB" w14:textId="77777777" w:rsidR="005C4090" w:rsidRDefault="005C4090" w:rsidP="00124EA5">
            <w:pPr>
              <w:pStyle w:val="Default"/>
              <w:rPr>
                <w:rFonts w:ascii="Arial" w:hAnsi="Arial" w:cs="Arial"/>
                <w:color w:val="auto"/>
                <w:sz w:val="20"/>
                <w:szCs w:val="20"/>
              </w:rPr>
            </w:pPr>
          </w:p>
          <w:p w14:paraId="6807C4FC" w14:textId="77777777" w:rsidR="005C4090" w:rsidRDefault="005C4090" w:rsidP="00124EA5">
            <w:pPr>
              <w:pStyle w:val="Default"/>
              <w:rPr>
                <w:rFonts w:ascii="Arial" w:hAnsi="Arial" w:cs="Arial"/>
                <w:color w:val="auto"/>
                <w:sz w:val="20"/>
                <w:szCs w:val="20"/>
              </w:rPr>
            </w:pPr>
          </w:p>
          <w:p w14:paraId="6807C4FD" w14:textId="77777777" w:rsidR="005C4090" w:rsidRDefault="005C4090" w:rsidP="00124EA5">
            <w:pPr>
              <w:pStyle w:val="Default"/>
              <w:rPr>
                <w:rFonts w:ascii="Arial" w:hAnsi="Arial" w:cs="Arial"/>
                <w:color w:val="auto"/>
                <w:sz w:val="20"/>
                <w:szCs w:val="20"/>
              </w:rPr>
            </w:pPr>
          </w:p>
          <w:p w14:paraId="6807C4FE" w14:textId="77777777" w:rsidR="005C4090" w:rsidRDefault="005C4090" w:rsidP="00124EA5">
            <w:pPr>
              <w:pStyle w:val="Default"/>
              <w:rPr>
                <w:rFonts w:ascii="Arial" w:hAnsi="Arial" w:cs="Arial"/>
                <w:color w:val="auto"/>
                <w:sz w:val="20"/>
                <w:szCs w:val="20"/>
              </w:rPr>
            </w:pPr>
          </w:p>
          <w:p w14:paraId="6807C4FF" w14:textId="77777777" w:rsidR="005C4090" w:rsidRDefault="005C4090" w:rsidP="00124EA5">
            <w:pPr>
              <w:pStyle w:val="Default"/>
              <w:rPr>
                <w:rFonts w:ascii="Arial" w:hAnsi="Arial" w:cs="Arial"/>
                <w:color w:val="auto"/>
                <w:sz w:val="20"/>
                <w:szCs w:val="20"/>
              </w:rPr>
            </w:pPr>
          </w:p>
          <w:p w14:paraId="6807C500" w14:textId="77777777" w:rsidR="005C4090" w:rsidRDefault="005C4090" w:rsidP="00124EA5">
            <w:pPr>
              <w:pStyle w:val="Default"/>
              <w:rPr>
                <w:rFonts w:ascii="Arial" w:hAnsi="Arial" w:cs="Arial"/>
                <w:color w:val="auto"/>
                <w:sz w:val="20"/>
                <w:szCs w:val="20"/>
              </w:rPr>
            </w:pPr>
          </w:p>
          <w:p w14:paraId="6807C501" w14:textId="77777777" w:rsidR="005C4090" w:rsidRDefault="005C4090" w:rsidP="00124EA5">
            <w:pPr>
              <w:pStyle w:val="Default"/>
              <w:rPr>
                <w:rFonts w:ascii="Arial" w:hAnsi="Arial" w:cs="Arial"/>
                <w:color w:val="auto"/>
                <w:sz w:val="20"/>
                <w:szCs w:val="20"/>
              </w:rPr>
            </w:pPr>
          </w:p>
          <w:p w14:paraId="6807C502" w14:textId="77777777" w:rsidR="005C4090" w:rsidRDefault="005C4090" w:rsidP="00124EA5">
            <w:pPr>
              <w:pStyle w:val="Default"/>
              <w:rPr>
                <w:rFonts w:ascii="Arial" w:hAnsi="Arial" w:cs="Arial"/>
                <w:color w:val="auto"/>
                <w:sz w:val="20"/>
                <w:szCs w:val="20"/>
              </w:rPr>
            </w:pPr>
          </w:p>
          <w:p w14:paraId="6807C503" w14:textId="77777777" w:rsidR="005C4090" w:rsidRDefault="005C4090" w:rsidP="00124EA5">
            <w:pPr>
              <w:pStyle w:val="Default"/>
              <w:rPr>
                <w:rFonts w:ascii="Arial" w:hAnsi="Arial" w:cs="Arial"/>
                <w:color w:val="auto"/>
                <w:sz w:val="20"/>
                <w:szCs w:val="20"/>
              </w:rPr>
            </w:pPr>
          </w:p>
          <w:p w14:paraId="6807C504" w14:textId="77777777" w:rsidR="005C4090" w:rsidRDefault="005C4090" w:rsidP="00124EA5">
            <w:pPr>
              <w:pStyle w:val="Default"/>
              <w:rPr>
                <w:rFonts w:ascii="Arial" w:hAnsi="Arial" w:cs="Arial"/>
                <w:color w:val="auto"/>
                <w:sz w:val="20"/>
                <w:szCs w:val="20"/>
              </w:rPr>
            </w:pPr>
          </w:p>
          <w:p w14:paraId="6807C505" w14:textId="77777777" w:rsidR="005C4090" w:rsidRDefault="005C4090" w:rsidP="00124EA5">
            <w:pPr>
              <w:pStyle w:val="Default"/>
              <w:rPr>
                <w:rFonts w:ascii="Arial" w:hAnsi="Arial" w:cs="Arial"/>
                <w:color w:val="auto"/>
                <w:sz w:val="20"/>
                <w:szCs w:val="20"/>
              </w:rPr>
            </w:pPr>
          </w:p>
          <w:p w14:paraId="6807C506" w14:textId="77777777" w:rsidR="005C4090" w:rsidRDefault="005C4090" w:rsidP="00124EA5">
            <w:pPr>
              <w:pStyle w:val="Default"/>
              <w:rPr>
                <w:rFonts w:ascii="Arial" w:hAnsi="Arial" w:cs="Arial"/>
                <w:color w:val="auto"/>
                <w:sz w:val="20"/>
                <w:szCs w:val="20"/>
              </w:rPr>
            </w:pPr>
          </w:p>
          <w:p w14:paraId="6807C507" w14:textId="77777777" w:rsidR="005C4090" w:rsidRDefault="005C4090" w:rsidP="00124EA5">
            <w:pPr>
              <w:pStyle w:val="Default"/>
              <w:rPr>
                <w:rFonts w:ascii="Arial" w:hAnsi="Arial" w:cs="Arial"/>
                <w:color w:val="auto"/>
                <w:sz w:val="20"/>
                <w:szCs w:val="20"/>
              </w:rPr>
            </w:pPr>
          </w:p>
          <w:p w14:paraId="6807C508" w14:textId="77777777" w:rsidR="005C4090" w:rsidRDefault="005C4090" w:rsidP="00124EA5">
            <w:pPr>
              <w:pStyle w:val="Default"/>
              <w:rPr>
                <w:rFonts w:ascii="Arial" w:hAnsi="Arial" w:cs="Arial"/>
                <w:color w:val="auto"/>
                <w:sz w:val="20"/>
                <w:szCs w:val="20"/>
              </w:rPr>
            </w:pPr>
          </w:p>
          <w:p w14:paraId="6807C509" w14:textId="77777777" w:rsidR="005C4090" w:rsidRDefault="005C4090" w:rsidP="00124EA5">
            <w:pPr>
              <w:pStyle w:val="Default"/>
              <w:rPr>
                <w:rFonts w:ascii="Arial" w:hAnsi="Arial" w:cs="Arial"/>
                <w:color w:val="auto"/>
                <w:sz w:val="20"/>
                <w:szCs w:val="20"/>
              </w:rPr>
            </w:pPr>
          </w:p>
          <w:p w14:paraId="6807C50A" w14:textId="77777777" w:rsidR="005C4090" w:rsidRDefault="005C4090" w:rsidP="00124EA5">
            <w:pPr>
              <w:pStyle w:val="Default"/>
              <w:rPr>
                <w:rFonts w:ascii="Arial" w:hAnsi="Arial" w:cs="Arial"/>
                <w:color w:val="auto"/>
                <w:sz w:val="20"/>
                <w:szCs w:val="20"/>
              </w:rPr>
            </w:pPr>
          </w:p>
          <w:p w14:paraId="6807C50B" w14:textId="77777777" w:rsidR="005C4090" w:rsidRDefault="005C4090" w:rsidP="00124EA5">
            <w:pPr>
              <w:pStyle w:val="Default"/>
              <w:rPr>
                <w:rFonts w:ascii="Arial" w:hAnsi="Arial" w:cs="Arial"/>
                <w:color w:val="auto"/>
                <w:sz w:val="20"/>
                <w:szCs w:val="20"/>
              </w:rPr>
            </w:pPr>
          </w:p>
          <w:p w14:paraId="6807C50C" w14:textId="77777777" w:rsidR="005C4090" w:rsidRPr="00750E67" w:rsidRDefault="005C4090" w:rsidP="00124EA5">
            <w:pPr>
              <w:pStyle w:val="Default"/>
              <w:rPr>
                <w:rFonts w:ascii="Arial" w:hAnsi="Arial" w:cs="Arial"/>
                <w:color w:val="auto"/>
                <w:sz w:val="20"/>
                <w:szCs w:val="20"/>
              </w:rPr>
            </w:pPr>
          </w:p>
        </w:tc>
        <w:tc>
          <w:tcPr>
            <w:tcW w:w="3330" w:type="dxa"/>
            <w:vMerge w:val="restart"/>
            <w:tcBorders>
              <w:top w:val="single" w:sz="4" w:space="0" w:color="auto"/>
            </w:tcBorders>
          </w:tcPr>
          <w:p w14:paraId="6807C50D" w14:textId="77777777" w:rsidR="005C4090" w:rsidRPr="00750E67" w:rsidRDefault="005C4090" w:rsidP="00124EA5">
            <w:pPr>
              <w:pStyle w:val="Default"/>
              <w:rPr>
                <w:rFonts w:ascii="Arial" w:hAnsi="Arial" w:cs="Arial"/>
                <w:color w:val="auto"/>
                <w:sz w:val="20"/>
                <w:szCs w:val="20"/>
              </w:rPr>
            </w:pPr>
            <w:r w:rsidRPr="00750E67">
              <w:rPr>
                <w:rFonts w:ascii="Arial" w:hAnsi="Arial" w:cs="Arial"/>
                <w:color w:val="auto"/>
                <w:sz w:val="20"/>
                <w:szCs w:val="20"/>
              </w:rPr>
              <w:t xml:space="preserve">2.1 Assess the appropriateness of different media to attract potential suppliers </w:t>
            </w:r>
          </w:p>
          <w:p w14:paraId="6807C50E" w14:textId="77777777" w:rsidR="005C4090" w:rsidRPr="00750E67" w:rsidRDefault="005C4090" w:rsidP="00AE2310">
            <w:pPr>
              <w:spacing w:before="36" w:line="285" w:lineRule="exact"/>
              <w:rPr>
                <w:rFonts w:ascii="Arial" w:hAnsi="Arial" w:cs="Arial"/>
                <w:sz w:val="20"/>
                <w:szCs w:val="20"/>
              </w:rPr>
            </w:pPr>
          </w:p>
          <w:p w14:paraId="6807C50F" w14:textId="77777777" w:rsidR="005C4090" w:rsidRPr="00750E67" w:rsidRDefault="005C4090" w:rsidP="00124EA5">
            <w:pPr>
              <w:pStyle w:val="Default"/>
              <w:rPr>
                <w:rFonts w:ascii="Arial" w:hAnsi="Arial" w:cs="Arial"/>
                <w:color w:val="auto"/>
                <w:sz w:val="20"/>
                <w:szCs w:val="20"/>
              </w:rPr>
            </w:pPr>
          </w:p>
          <w:p w14:paraId="6807C510" w14:textId="77777777" w:rsidR="005C4090" w:rsidRPr="00750E67" w:rsidRDefault="005C4090" w:rsidP="00124EA5">
            <w:pPr>
              <w:pStyle w:val="Default"/>
              <w:rPr>
                <w:rFonts w:ascii="Arial" w:hAnsi="Arial" w:cs="Arial"/>
                <w:color w:val="auto"/>
                <w:sz w:val="20"/>
                <w:szCs w:val="20"/>
              </w:rPr>
            </w:pPr>
          </w:p>
        </w:tc>
        <w:tc>
          <w:tcPr>
            <w:tcW w:w="7375" w:type="dxa"/>
          </w:tcPr>
          <w:p w14:paraId="6807C511" w14:textId="77777777" w:rsidR="005C4090" w:rsidRDefault="005C4090" w:rsidP="00865D87">
            <w:pPr>
              <w:rPr>
                <w:rFonts w:ascii="Arial" w:hAnsi="Arial" w:cs="Arial"/>
                <w:sz w:val="20"/>
                <w:szCs w:val="20"/>
                <w:shd w:val="clear" w:color="auto" w:fill="FFFFFF"/>
              </w:rPr>
            </w:pPr>
            <w:r w:rsidRPr="00750E67">
              <w:rPr>
                <w:rFonts w:ascii="Arial" w:hAnsi="Arial" w:cs="Arial"/>
                <w:sz w:val="20"/>
                <w:szCs w:val="20"/>
                <w:shd w:val="clear" w:color="auto" w:fill="FFFFFF"/>
              </w:rPr>
              <w:t xml:space="preserve">There are a number of different media that may be appropriate to attract potential suppliers such as trade magazines and web sites. The choice will depend on the nature of the tender, the tendering </w:t>
            </w:r>
            <w:proofErr w:type="spellStart"/>
            <w:r w:rsidRPr="00750E67">
              <w:rPr>
                <w:rFonts w:ascii="Arial" w:hAnsi="Arial" w:cs="Arial"/>
                <w:sz w:val="20"/>
                <w:szCs w:val="20"/>
                <w:shd w:val="clear" w:color="auto" w:fill="FFFFFF"/>
              </w:rPr>
              <w:t>organisation</w:t>
            </w:r>
            <w:proofErr w:type="spellEnd"/>
            <w:r w:rsidRPr="00750E67">
              <w:rPr>
                <w:rFonts w:ascii="Arial" w:hAnsi="Arial" w:cs="Arial"/>
                <w:sz w:val="20"/>
                <w:szCs w:val="20"/>
                <w:shd w:val="clear" w:color="auto" w:fill="FFFFFF"/>
              </w:rPr>
              <w:t xml:space="preserve"> and the size of the contract. There may be specific contractual requirements for inviting tendering.</w:t>
            </w:r>
          </w:p>
          <w:p w14:paraId="6807C512" w14:textId="77777777" w:rsidR="005C4090" w:rsidRPr="00750E67" w:rsidRDefault="005C4090" w:rsidP="00865D87">
            <w:pPr>
              <w:rPr>
                <w:rFonts w:ascii="Arial" w:hAnsi="Arial" w:cs="Arial"/>
                <w:sz w:val="20"/>
                <w:szCs w:val="20"/>
                <w:shd w:val="clear" w:color="auto" w:fill="FFFFFF"/>
              </w:rPr>
            </w:pPr>
          </w:p>
          <w:p w14:paraId="6807C513" w14:textId="77777777" w:rsidR="005C4090" w:rsidRPr="00750E67" w:rsidRDefault="005C4090" w:rsidP="00865D87">
            <w:pPr>
              <w:rPr>
                <w:rFonts w:ascii="Arial" w:hAnsi="Arial" w:cs="Arial"/>
                <w:sz w:val="20"/>
                <w:szCs w:val="20"/>
                <w:shd w:val="clear" w:color="auto" w:fill="FFFFFF"/>
              </w:rPr>
            </w:pPr>
            <w:r w:rsidRPr="00750E67">
              <w:rPr>
                <w:rFonts w:ascii="Arial" w:hAnsi="Arial" w:cs="Arial"/>
                <w:sz w:val="20"/>
                <w:szCs w:val="20"/>
                <w:shd w:val="clear" w:color="auto" w:fill="FFFFFF"/>
              </w:rPr>
              <w:t>Criteria for selecting media likely to attract potential suppliers should be set and the various media available assessed/ ranked for their appropriateness against these criteria.</w:t>
            </w:r>
          </w:p>
          <w:p w14:paraId="6807C514" w14:textId="77777777" w:rsidR="005C4090" w:rsidRPr="00750E67" w:rsidRDefault="005C4090" w:rsidP="00865D87">
            <w:pPr>
              <w:rPr>
                <w:rFonts w:ascii="Arial" w:hAnsi="Arial" w:cs="Arial"/>
                <w:sz w:val="20"/>
                <w:szCs w:val="20"/>
                <w:shd w:val="clear" w:color="auto" w:fill="FFFFFF"/>
              </w:rPr>
            </w:pPr>
          </w:p>
        </w:tc>
      </w:tr>
      <w:tr w:rsidR="005C4090" w:rsidRPr="00D93199" w14:paraId="6807C519" w14:textId="77777777" w:rsidTr="00F07040">
        <w:trPr>
          <w:trHeight w:val="256"/>
        </w:trPr>
        <w:tc>
          <w:tcPr>
            <w:tcW w:w="2245" w:type="dxa"/>
            <w:vMerge/>
          </w:tcPr>
          <w:p w14:paraId="6807C516" w14:textId="77777777" w:rsidR="005C4090" w:rsidRPr="00750E67" w:rsidRDefault="005C4090" w:rsidP="008A5C11">
            <w:pPr>
              <w:rPr>
                <w:rFonts w:ascii="Arial" w:hAnsi="Arial" w:cs="Arial"/>
                <w:sz w:val="20"/>
                <w:szCs w:val="20"/>
              </w:rPr>
            </w:pPr>
          </w:p>
        </w:tc>
        <w:tc>
          <w:tcPr>
            <w:tcW w:w="3330" w:type="dxa"/>
            <w:vMerge/>
            <w:tcBorders>
              <w:bottom w:val="single" w:sz="4" w:space="0" w:color="auto"/>
            </w:tcBorders>
          </w:tcPr>
          <w:p w14:paraId="6807C517" w14:textId="77777777" w:rsidR="005C4090" w:rsidRPr="00750E67" w:rsidRDefault="005C4090" w:rsidP="001B224A">
            <w:pPr>
              <w:spacing w:before="36" w:line="285" w:lineRule="exact"/>
              <w:rPr>
                <w:rFonts w:ascii="Arial" w:hAnsi="Arial" w:cs="Arial"/>
                <w:sz w:val="20"/>
                <w:szCs w:val="20"/>
              </w:rPr>
            </w:pPr>
          </w:p>
        </w:tc>
        <w:tc>
          <w:tcPr>
            <w:tcW w:w="7375" w:type="dxa"/>
          </w:tcPr>
          <w:p w14:paraId="6807C518" w14:textId="77777777" w:rsidR="005C4090" w:rsidRPr="00750E67" w:rsidRDefault="005C4090" w:rsidP="00750E67">
            <w:pPr>
              <w:pStyle w:val="Subtitle"/>
              <w:tabs>
                <w:tab w:val="right" w:pos="7159"/>
              </w:tabs>
              <w:rPr>
                <w:rFonts w:ascii="Arial" w:hAnsi="Arial" w:cs="Arial"/>
                <w:i/>
                <w:color w:val="auto"/>
                <w:sz w:val="20"/>
                <w:szCs w:val="20"/>
              </w:rPr>
            </w:pPr>
            <w:r w:rsidRPr="00750E67">
              <w:rPr>
                <w:rFonts w:ascii="Arial" w:hAnsi="Arial" w:cs="Arial"/>
                <w:i/>
                <w:color w:val="auto"/>
                <w:sz w:val="20"/>
                <w:szCs w:val="20"/>
              </w:rPr>
              <w:t>In this criterion the learner is required assess the appropriateness of different media to attract potential suppliers.</w:t>
            </w:r>
          </w:p>
        </w:tc>
      </w:tr>
      <w:tr w:rsidR="005C4090" w:rsidRPr="00D93199" w14:paraId="6807C520" w14:textId="77777777" w:rsidTr="00452935">
        <w:trPr>
          <w:trHeight w:val="1266"/>
        </w:trPr>
        <w:tc>
          <w:tcPr>
            <w:tcW w:w="2245" w:type="dxa"/>
            <w:vMerge/>
          </w:tcPr>
          <w:p w14:paraId="6807C51A" w14:textId="77777777" w:rsidR="005C4090" w:rsidRPr="00750E67" w:rsidRDefault="005C4090" w:rsidP="008A5C11">
            <w:pPr>
              <w:rPr>
                <w:rFonts w:ascii="Arial" w:hAnsi="Arial" w:cs="Arial"/>
                <w:sz w:val="20"/>
                <w:szCs w:val="20"/>
              </w:rPr>
            </w:pPr>
          </w:p>
        </w:tc>
        <w:tc>
          <w:tcPr>
            <w:tcW w:w="3330" w:type="dxa"/>
            <w:vMerge w:val="restart"/>
            <w:tcBorders>
              <w:top w:val="single" w:sz="4" w:space="0" w:color="auto"/>
            </w:tcBorders>
          </w:tcPr>
          <w:p w14:paraId="6807C51B" w14:textId="77777777" w:rsidR="005C4090" w:rsidRPr="00750E67" w:rsidRDefault="005C4090" w:rsidP="00124EA5">
            <w:pPr>
              <w:pStyle w:val="Default"/>
              <w:rPr>
                <w:rFonts w:ascii="Arial" w:hAnsi="Arial" w:cs="Arial"/>
                <w:color w:val="auto"/>
                <w:sz w:val="20"/>
                <w:szCs w:val="20"/>
              </w:rPr>
            </w:pPr>
            <w:r w:rsidRPr="00750E67">
              <w:rPr>
                <w:rFonts w:ascii="Arial" w:hAnsi="Arial" w:cs="Arial"/>
                <w:color w:val="auto"/>
                <w:spacing w:val="1"/>
                <w:sz w:val="20"/>
                <w:szCs w:val="20"/>
              </w:rPr>
              <w:t xml:space="preserve">2.2 </w:t>
            </w:r>
            <w:r w:rsidRPr="00750E67">
              <w:rPr>
                <w:rFonts w:ascii="Arial" w:hAnsi="Arial" w:cs="Arial"/>
                <w:color w:val="auto"/>
                <w:sz w:val="20"/>
                <w:szCs w:val="20"/>
              </w:rPr>
              <w:t xml:space="preserve">Use media to attract potential suppliers that are appropriate to the nature of the contract </w:t>
            </w:r>
          </w:p>
          <w:p w14:paraId="6807C51C" w14:textId="77777777" w:rsidR="005C4090" w:rsidRPr="00750E67" w:rsidRDefault="005C4090" w:rsidP="00AE2310">
            <w:pPr>
              <w:spacing w:before="72" w:line="268" w:lineRule="exact"/>
              <w:rPr>
                <w:rFonts w:ascii="Arial" w:hAnsi="Arial" w:cs="Arial"/>
                <w:sz w:val="20"/>
                <w:szCs w:val="20"/>
              </w:rPr>
            </w:pPr>
          </w:p>
          <w:p w14:paraId="6807C51D" w14:textId="77777777" w:rsidR="005C4090" w:rsidRPr="00750E67" w:rsidRDefault="005C4090" w:rsidP="00124EA5">
            <w:pPr>
              <w:pStyle w:val="Default"/>
              <w:rPr>
                <w:rFonts w:ascii="Arial" w:hAnsi="Arial" w:cs="Arial"/>
                <w:color w:val="auto"/>
                <w:sz w:val="20"/>
                <w:szCs w:val="20"/>
              </w:rPr>
            </w:pPr>
          </w:p>
          <w:p w14:paraId="6807C51E" w14:textId="77777777" w:rsidR="005C4090" w:rsidRPr="00750E67" w:rsidRDefault="005C4090" w:rsidP="00124EA5">
            <w:pPr>
              <w:pStyle w:val="Default"/>
              <w:rPr>
                <w:rFonts w:ascii="Arial" w:hAnsi="Arial" w:cs="Arial"/>
                <w:color w:val="auto"/>
                <w:sz w:val="20"/>
                <w:szCs w:val="20"/>
              </w:rPr>
            </w:pPr>
          </w:p>
        </w:tc>
        <w:tc>
          <w:tcPr>
            <w:tcW w:w="7375" w:type="dxa"/>
          </w:tcPr>
          <w:p w14:paraId="6807C51F" w14:textId="77777777" w:rsidR="005C4090" w:rsidRPr="00750E67" w:rsidRDefault="005C4090" w:rsidP="00AC0556">
            <w:pPr>
              <w:rPr>
                <w:rFonts w:ascii="Arial" w:hAnsi="Arial" w:cs="Arial"/>
                <w:sz w:val="20"/>
                <w:szCs w:val="20"/>
                <w:shd w:val="clear" w:color="auto" w:fill="FFFFFF"/>
                <w:lang w:val="en-GB"/>
              </w:rPr>
            </w:pPr>
            <w:r w:rsidRPr="00750E67">
              <w:rPr>
                <w:rFonts w:ascii="Arial" w:hAnsi="Arial" w:cs="Arial"/>
                <w:sz w:val="20"/>
                <w:szCs w:val="20"/>
                <w:shd w:val="clear" w:color="auto" w:fill="FFFFFF"/>
                <w:lang w:val="en-GB"/>
              </w:rPr>
              <w:t>Media for attracting potential suppliers should be used. After the advertising process is complete and tenders received, organisations will normally review the effectiveness of the media in attracting suppliers and this will be used to inform their choice of media for future use.</w:t>
            </w:r>
          </w:p>
        </w:tc>
      </w:tr>
      <w:tr w:rsidR="005C4090" w:rsidRPr="00D93199" w14:paraId="6807C524" w14:textId="77777777" w:rsidTr="00750E67">
        <w:trPr>
          <w:trHeight w:val="972"/>
        </w:trPr>
        <w:tc>
          <w:tcPr>
            <w:tcW w:w="2245" w:type="dxa"/>
            <w:vMerge/>
          </w:tcPr>
          <w:p w14:paraId="6807C521" w14:textId="77777777" w:rsidR="005C4090" w:rsidRPr="00750E67" w:rsidRDefault="005C4090" w:rsidP="008A5C11">
            <w:pPr>
              <w:rPr>
                <w:rFonts w:ascii="Arial" w:hAnsi="Arial" w:cs="Arial"/>
                <w:sz w:val="20"/>
                <w:szCs w:val="20"/>
              </w:rPr>
            </w:pPr>
          </w:p>
        </w:tc>
        <w:tc>
          <w:tcPr>
            <w:tcW w:w="3330" w:type="dxa"/>
            <w:vMerge/>
            <w:tcBorders>
              <w:bottom w:val="single" w:sz="4" w:space="0" w:color="auto"/>
            </w:tcBorders>
          </w:tcPr>
          <w:p w14:paraId="6807C522" w14:textId="77777777" w:rsidR="005C4090" w:rsidRPr="00750E67" w:rsidRDefault="005C4090" w:rsidP="00B16C86">
            <w:pPr>
              <w:spacing w:before="72" w:line="268" w:lineRule="exact"/>
              <w:rPr>
                <w:rFonts w:ascii="Arial" w:hAnsi="Arial" w:cs="Arial"/>
                <w:spacing w:val="1"/>
                <w:sz w:val="20"/>
                <w:szCs w:val="20"/>
              </w:rPr>
            </w:pPr>
          </w:p>
        </w:tc>
        <w:tc>
          <w:tcPr>
            <w:tcW w:w="7375" w:type="dxa"/>
          </w:tcPr>
          <w:p w14:paraId="6807C523" w14:textId="77777777" w:rsidR="005C4090" w:rsidRPr="00750E67" w:rsidRDefault="005C4090" w:rsidP="00750E67">
            <w:pPr>
              <w:pStyle w:val="Subtitle"/>
              <w:rPr>
                <w:rFonts w:ascii="Arial" w:hAnsi="Arial" w:cs="Arial"/>
                <w:i/>
                <w:color w:val="auto"/>
                <w:sz w:val="20"/>
                <w:szCs w:val="20"/>
              </w:rPr>
            </w:pPr>
            <w:r w:rsidRPr="00750E67">
              <w:rPr>
                <w:rFonts w:ascii="Arial" w:hAnsi="Arial" w:cs="Arial"/>
                <w:i/>
                <w:color w:val="auto"/>
                <w:sz w:val="20"/>
                <w:szCs w:val="20"/>
              </w:rPr>
              <w:t xml:space="preserve">In this criterion the learner is required to show how he or she has used media to attract potential suppliers that are appropriate to the nature of the contract. The rationale for this use should be explained together with some review of its effectiveness. </w:t>
            </w:r>
          </w:p>
        </w:tc>
      </w:tr>
      <w:tr w:rsidR="005C4090" w:rsidRPr="00D93199" w14:paraId="6807C52C" w14:textId="77777777" w:rsidTr="00666B5F">
        <w:trPr>
          <w:trHeight w:val="234"/>
        </w:trPr>
        <w:tc>
          <w:tcPr>
            <w:tcW w:w="2245" w:type="dxa"/>
            <w:vMerge/>
          </w:tcPr>
          <w:p w14:paraId="6807C525" w14:textId="77777777" w:rsidR="005C4090" w:rsidRPr="00750E67" w:rsidRDefault="005C4090" w:rsidP="008A5C11">
            <w:pPr>
              <w:rPr>
                <w:rFonts w:ascii="Arial" w:hAnsi="Arial" w:cs="Arial"/>
                <w:sz w:val="20"/>
                <w:szCs w:val="20"/>
              </w:rPr>
            </w:pPr>
          </w:p>
        </w:tc>
        <w:tc>
          <w:tcPr>
            <w:tcW w:w="3330" w:type="dxa"/>
            <w:vMerge w:val="restart"/>
            <w:tcBorders>
              <w:top w:val="single" w:sz="4" w:space="0" w:color="auto"/>
            </w:tcBorders>
          </w:tcPr>
          <w:p w14:paraId="6807C526" w14:textId="77777777" w:rsidR="005C4090" w:rsidRPr="00750E67" w:rsidRDefault="005C4090" w:rsidP="00124EA5">
            <w:pPr>
              <w:pStyle w:val="Default"/>
              <w:rPr>
                <w:rFonts w:ascii="Arial" w:hAnsi="Arial" w:cs="Arial"/>
                <w:sz w:val="20"/>
                <w:szCs w:val="20"/>
              </w:rPr>
            </w:pPr>
            <w:r w:rsidRPr="00750E67">
              <w:rPr>
                <w:rFonts w:ascii="Arial" w:hAnsi="Arial" w:cs="Arial"/>
                <w:sz w:val="20"/>
                <w:szCs w:val="20"/>
              </w:rPr>
              <w:t xml:space="preserve">2.3 Specify tender application procedures, arrangements and timetable </w:t>
            </w:r>
          </w:p>
          <w:p w14:paraId="6807C527" w14:textId="77777777" w:rsidR="005C4090" w:rsidRPr="00750E67" w:rsidRDefault="005C4090" w:rsidP="00AE2310">
            <w:pPr>
              <w:rPr>
                <w:rFonts w:ascii="Arial" w:hAnsi="Arial" w:cs="Arial"/>
                <w:sz w:val="20"/>
                <w:szCs w:val="20"/>
              </w:rPr>
            </w:pPr>
          </w:p>
          <w:p w14:paraId="6807C528" w14:textId="77777777" w:rsidR="005C4090" w:rsidRPr="00750E67" w:rsidRDefault="005C4090" w:rsidP="00124EA5">
            <w:pPr>
              <w:pStyle w:val="Default"/>
              <w:rPr>
                <w:rFonts w:ascii="Arial" w:hAnsi="Arial" w:cs="Arial"/>
                <w:color w:val="auto"/>
                <w:sz w:val="20"/>
                <w:szCs w:val="20"/>
              </w:rPr>
            </w:pPr>
          </w:p>
          <w:p w14:paraId="6807C529" w14:textId="77777777" w:rsidR="005C4090" w:rsidRPr="00750E67" w:rsidRDefault="005C4090" w:rsidP="00124EA5">
            <w:pPr>
              <w:pStyle w:val="Default"/>
              <w:rPr>
                <w:rFonts w:ascii="Arial" w:hAnsi="Arial" w:cs="Arial"/>
                <w:sz w:val="20"/>
                <w:szCs w:val="20"/>
              </w:rPr>
            </w:pPr>
          </w:p>
        </w:tc>
        <w:tc>
          <w:tcPr>
            <w:tcW w:w="7375" w:type="dxa"/>
          </w:tcPr>
          <w:p w14:paraId="6807C52A" w14:textId="77777777" w:rsidR="005C4090" w:rsidRPr="00D3495E" w:rsidRDefault="005C4090" w:rsidP="00173291">
            <w:pPr>
              <w:rPr>
                <w:rStyle w:val="Hyperlink"/>
                <w:rFonts w:ascii="Arial" w:hAnsi="Arial" w:cs="Arial"/>
                <w:color w:val="auto"/>
                <w:sz w:val="20"/>
                <w:szCs w:val="20"/>
                <w:u w:val="none"/>
              </w:rPr>
            </w:pPr>
            <w:r w:rsidRPr="00D3495E">
              <w:rPr>
                <w:rStyle w:val="Hyperlink"/>
                <w:rFonts w:ascii="Arial" w:hAnsi="Arial" w:cs="Arial"/>
                <w:color w:val="auto"/>
                <w:sz w:val="20"/>
                <w:szCs w:val="20"/>
                <w:u w:val="none"/>
              </w:rPr>
              <w:t xml:space="preserve">Tender application procedures, arrangements and timetable should be specified in accordance with the </w:t>
            </w:r>
            <w:proofErr w:type="spellStart"/>
            <w:r w:rsidRPr="00D3495E">
              <w:rPr>
                <w:rStyle w:val="Hyperlink"/>
                <w:rFonts w:ascii="Arial" w:hAnsi="Arial" w:cs="Arial"/>
                <w:color w:val="auto"/>
                <w:sz w:val="20"/>
                <w:szCs w:val="20"/>
                <w:u w:val="none"/>
              </w:rPr>
              <w:t>organisation’s</w:t>
            </w:r>
            <w:proofErr w:type="spellEnd"/>
            <w:r w:rsidRPr="00D3495E">
              <w:rPr>
                <w:rStyle w:val="Hyperlink"/>
                <w:rFonts w:ascii="Arial" w:hAnsi="Arial" w:cs="Arial"/>
                <w:color w:val="auto"/>
                <w:sz w:val="20"/>
                <w:szCs w:val="20"/>
                <w:u w:val="none"/>
              </w:rPr>
              <w:t xml:space="preserve"> procurement policy. </w:t>
            </w:r>
          </w:p>
          <w:p w14:paraId="6807C52B" w14:textId="77777777" w:rsidR="005C4090" w:rsidRPr="00D3495E" w:rsidRDefault="005C4090" w:rsidP="00173291">
            <w:pPr>
              <w:rPr>
                <w:rFonts w:ascii="Arial" w:hAnsi="Arial" w:cs="Arial"/>
                <w:sz w:val="20"/>
                <w:szCs w:val="20"/>
              </w:rPr>
            </w:pPr>
          </w:p>
        </w:tc>
      </w:tr>
      <w:tr w:rsidR="005C4090" w:rsidRPr="00D93199" w14:paraId="6807C530" w14:textId="77777777" w:rsidTr="00C95034">
        <w:trPr>
          <w:trHeight w:val="234"/>
        </w:trPr>
        <w:tc>
          <w:tcPr>
            <w:tcW w:w="2245" w:type="dxa"/>
            <w:vMerge/>
          </w:tcPr>
          <w:p w14:paraId="6807C52D" w14:textId="77777777" w:rsidR="005C4090" w:rsidRPr="008F51CA" w:rsidRDefault="005C4090" w:rsidP="008A5C11">
            <w:pPr>
              <w:rPr>
                <w:rFonts w:ascii="Arial" w:hAnsi="Arial" w:cs="Arial"/>
              </w:rPr>
            </w:pPr>
          </w:p>
        </w:tc>
        <w:tc>
          <w:tcPr>
            <w:tcW w:w="3330" w:type="dxa"/>
            <w:vMerge/>
            <w:tcBorders>
              <w:bottom w:val="single" w:sz="4" w:space="0" w:color="auto"/>
            </w:tcBorders>
          </w:tcPr>
          <w:p w14:paraId="6807C52E" w14:textId="77777777" w:rsidR="005C4090" w:rsidRPr="008F51CA" w:rsidRDefault="005C4090" w:rsidP="008A5C11">
            <w:pPr>
              <w:rPr>
                <w:rFonts w:ascii="Arial" w:hAnsi="Arial" w:cs="Arial"/>
                <w:color w:val="000000"/>
              </w:rPr>
            </w:pPr>
          </w:p>
        </w:tc>
        <w:tc>
          <w:tcPr>
            <w:tcW w:w="7375" w:type="dxa"/>
          </w:tcPr>
          <w:p w14:paraId="6807C52F" w14:textId="77777777" w:rsidR="005C4090" w:rsidRPr="00D3495E" w:rsidRDefault="005C4090" w:rsidP="00D3495E">
            <w:pPr>
              <w:pStyle w:val="Subtitle"/>
              <w:rPr>
                <w:rFonts w:ascii="Arial" w:hAnsi="Arial" w:cs="Arial"/>
                <w:i/>
                <w:color w:val="auto"/>
                <w:sz w:val="20"/>
                <w:szCs w:val="20"/>
              </w:rPr>
            </w:pPr>
            <w:r w:rsidRPr="00D3495E">
              <w:rPr>
                <w:rFonts w:ascii="Arial" w:hAnsi="Arial" w:cs="Arial"/>
                <w:i/>
                <w:color w:val="auto"/>
                <w:sz w:val="20"/>
                <w:szCs w:val="20"/>
              </w:rPr>
              <w:t xml:space="preserve">In this criterion the learner is required to specify tender application procedures, arrangements and timetable in line with the </w:t>
            </w:r>
            <w:proofErr w:type="spellStart"/>
            <w:r w:rsidRPr="00D3495E">
              <w:rPr>
                <w:rFonts w:ascii="Arial" w:hAnsi="Arial" w:cs="Arial"/>
                <w:i/>
                <w:color w:val="auto"/>
                <w:sz w:val="20"/>
                <w:szCs w:val="20"/>
              </w:rPr>
              <w:t>organisation’s</w:t>
            </w:r>
            <w:proofErr w:type="spellEnd"/>
            <w:r w:rsidRPr="00D3495E">
              <w:rPr>
                <w:rFonts w:ascii="Arial" w:hAnsi="Arial" w:cs="Arial"/>
                <w:i/>
                <w:color w:val="auto"/>
                <w:sz w:val="20"/>
                <w:szCs w:val="20"/>
              </w:rPr>
              <w:t xml:space="preserve"> policy. The rationale for this should be explained and relevant documents should be referred to.</w:t>
            </w:r>
          </w:p>
        </w:tc>
      </w:tr>
      <w:tr w:rsidR="005C4090" w:rsidRPr="00D93199" w14:paraId="6807C538" w14:textId="77777777" w:rsidTr="00C95034">
        <w:trPr>
          <w:trHeight w:val="260"/>
        </w:trPr>
        <w:tc>
          <w:tcPr>
            <w:tcW w:w="2245" w:type="dxa"/>
            <w:vMerge/>
          </w:tcPr>
          <w:p w14:paraId="6807C531" w14:textId="77777777" w:rsidR="005C4090" w:rsidRPr="008F51CA" w:rsidRDefault="005C4090" w:rsidP="00AE2310">
            <w:pPr>
              <w:rPr>
                <w:rFonts w:ascii="Arial" w:hAnsi="Arial" w:cs="Arial"/>
              </w:rPr>
            </w:pPr>
          </w:p>
        </w:tc>
        <w:tc>
          <w:tcPr>
            <w:tcW w:w="3330" w:type="dxa"/>
            <w:vMerge w:val="restart"/>
            <w:tcBorders>
              <w:top w:val="single" w:sz="4" w:space="0" w:color="auto"/>
            </w:tcBorders>
          </w:tcPr>
          <w:p w14:paraId="6807C532" w14:textId="77777777" w:rsidR="005C4090" w:rsidRPr="00D3495E" w:rsidRDefault="005C4090" w:rsidP="00124EA5">
            <w:pPr>
              <w:pStyle w:val="Default"/>
              <w:rPr>
                <w:rFonts w:ascii="Arial" w:hAnsi="Arial" w:cs="Arial"/>
                <w:color w:val="auto"/>
                <w:sz w:val="20"/>
                <w:szCs w:val="20"/>
              </w:rPr>
            </w:pPr>
            <w:r w:rsidRPr="00D3495E">
              <w:rPr>
                <w:rFonts w:ascii="Arial" w:hAnsi="Arial" w:cs="Arial"/>
                <w:color w:val="auto"/>
                <w:spacing w:val="-1"/>
                <w:sz w:val="20"/>
                <w:szCs w:val="20"/>
              </w:rPr>
              <w:t>2.4</w:t>
            </w:r>
            <w:r w:rsidRPr="00D3495E">
              <w:rPr>
                <w:rFonts w:ascii="Arial" w:hAnsi="Arial" w:cs="Arial"/>
                <w:color w:val="auto"/>
                <w:sz w:val="20"/>
                <w:szCs w:val="20"/>
              </w:rPr>
              <w:t xml:space="preserve"> Invite suppliers to apply for the tender </w:t>
            </w:r>
          </w:p>
          <w:p w14:paraId="6807C533" w14:textId="77777777" w:rsidR="005C4090" w:rsidRPr="00D3495E" w:rsidRDefault="005C4090" w:rsidP="00AE2310">
            <w:pPr>
              <w:spacing w:before="36" w:line="287" w:lineRule="exact"/>
              <w:ind w:right="288"/>
              <w:rPr>
                <w:rFonts w:ascii="Arial" w:hAnsi="Arial" w:cs="Arial"/>
                <w:spacing w:val="-1"/>
                <w:sz w:val="20"/>
                <w:szCs w:val="20"/>
              </w:rPr>
            </w:pPr>
          </w:p>
          <w:p w14:paraId="6807C534" w14:textId="77777777" w:rsidR="005C4090" w:rsidRPr="00D3495E" w:rsidRDefault="005C4090" w:rsidP="00124EA5">
            <w:pPr>
              <w:pStyle w:val="Default"/>
              <w:rPr>
                <w:rFonts w:ascii="Arial" w:hAnsi="Arial" w:cs="Arial"/>
                <w:color w:val="auto"/>
                <w:sz w:val="20"/>
                <w:szCs w:val="20"/>
              </w:rPr>
            </w:pPr>
          </w:p>
          <w:p w14:paraId="6807C535" w14:textId="77777777" w:rsidR="005C4090" w:rsidRPr="00D3495E" w:rsidRDefault="005C4090" w:rsidP="00124EA5">
            <w:pPr>
              <w:pStyle w:val="Default"/>
              <w:rPr>
                <w:rFonts w:ascii="Arial" w:hAnsi="Arial" w:cs="Arial"/>
                <w:color w:val="auto"/>
                <w:spacing w:val="-1"/>
                <w:sz w:val="20"/>
                <w:szCs w:val="20"/>
              </w:rPr>
            </w:pPr>
          </w:p>
        </w:tc>
        <w:tc>
          <w:tcPr>
            <w:tcW w:w="7375" w:type="dxa"/>
          </w:tcPr>
          <w:p w14:paraId="6807C536" w14:textId="77777777" w:rsidR="005C4090" w:rsidRPr="00D3495E" w:rsidRDefault="005C4090" w:rsidP="00ED0F25">
            <w:pPr>
              <w:rPr>
                <w:rFonts w:ascii="Arial" w:hAnsi="Arial" w:cs="Arial"/>
                <w:sz w:val="20"/>
                <w:szCs w:val="20"/>
              </w:rPr>
            </w:pPr>
            <w:r w:rsidRPr="00D3495E">
              <w:rPr>
                <w:rFonts w:ascii="Arial" w:hAnsi="Arial" w:cs="Arial"/>
                <w:sz w:val="20"/>
                <w:szCs w:val="20"/>
              </w:rPr>
              <w:t xml:space="preserve">Suppliers should be invited to apply for the tender in accordance with </w:t>
            </w:r>
            <w:proofErr w:type="spellStart"/>
            <w:r w:rsidRPr="00D3495E">
              <w:rPr>
                <w:rFonts w:ascii="Arial" w:hAnsi="Arial" w:cs="Arial"/>
                <w:sz w:val="20"/>
                <w:szCs w:val="20"/>
              </w:rPr>
              <w:t>organisational</w:t>
            </w:r>
            <w:proofErr w:type="spellEnd"/>
            <w:r w:rsidRPr="00D3495E">
              <w:rPr>
                <w:rFonts w:ascii="Arial" w:hAnsi="Arial" w:cs="Arial"/>
                <w:sz w:val="20"/>
                <w:szCs w:val="20"/>
              </w:rPr>
              <w:t xml:space="preserve"> procurement policies</w:t>
            </w:r>
          </w:p>
          <w:p w14:paraId="6807C537" w14:textId="77777777" w:rsidR="005C4090" w:rsidRPr="00D3495E" w:rsidRDefault="005C4090" w:rsidP="00ED0F25">
            <w:pPr>
              <w:rPr>
                <w:rFonts w:ascii="Arial" w:hAnsi="Arial" w:cs="Arial"/>
                <w:sz w:val="20"/>
                <w:szCs w:val="20"/>
              </w:rPr>
            </w:pPr>
          </w:p>
        </w:tc>
      </w:tr>
      <w:tr w:rsidR="005C4090" w:rsidRPr="00D93199" w14:paraId="6807C53C" w14:textId="77777777" w:rsidTr="004257DC">
        <w:trPr>
          <w:trHeight w:val="260"/>
        </w:trPr>
        <w:tc>
          <w:tcPr>
            <w:tcW w:w="2245" w:type="dxa"/>
            <w:vMerge/>
          </w:tcPr>
          <w:p w14:paraId="6807C539" w14:textId="77777777" w:rsidR="005C4090" w:rsidRPr="008F51CA" w:rsidRDefault="005C4090" w:rsidP="00AE2310">
            <w:pPr>
              <w:rPr>
                <w:rFonts w:ascii="Arial" w:hAnsi="Arial" w:cs="Arial"/>
              </w:rPr>
            </w:pPr>
          </w:p>
        </w:tc>
        <w:tc>
          <w:tcPr>
            <w:tcW w:w="3330" w:type="dxa"/>
            <w:vMerge/>
          </w:tcPr>
          <w:p w14:paraId="6807C53A" w14:textId="77777777" w:rsidR="005C4090" w:rsidRPr="00D3495E" w:rsidRDefault="005C4090" w:rsidP="00AE2310">
            <w:pPr>
              <w:spacing w:before="36" w:line="287" w:lineRule="exact"/>
              <w:ind w:right="288"/>
              <w:rPr>
                <w:rFonts w:ascii="Arial" w:hAnsi="Arial" w:cs="Arial"/>
                <w:spacing w:val="-1"/>
                <w:sz w:val="20"/>
                <w:szCs w:val="20"/>
              </w:rPr>
            </w:pPr>
          </w:p>
        </w:tc>
        <w:tc>
          <w:tcPr>
            <w:tcW w:w="7375" w:type="dxa"/>
          </w:tcPr>
          <w:p w14:paraId="6807C53B" w14:textId="77777777" w:rsidR="005C4090" w:rsidRPr="00D3495E" w:rsidRDefault="005C4090" w:rsidP="00ED0F25">
            <w:pPr>
              <w:pStyle w:val="Subtitle"/>
              <w:rPr>
                <w:rFonts w:ascii="Arial" w:hAnsi="Arial" w:cs="Arial"/>
                <w:i/>
                <w:color w:val="auto"/>
                <w:sz w:val="20"/>
                <w:szCs w:val="20"/>
              </w:rPr>
            </w:pPr>
            <w:r w:rsidRPr="00D3495E">
              <w:rPr>
                <w:rFonts w:ascii="Arial" w:hAnsi="Arial" w:cs="Arial"/>
                <w:i/>
                <w:color w:val="auto"/>
                <w:sz w:val="20"/>
                <w:szCs w:val="20"/>
              </w:rPr>
              <w:t>In this criterion the learner is required to demonstrate, with supporting evidence, how they invited suppliers to tender</w:t>
            </w:r>
          </w:p>
        </w:tc>
      </w:tr>
      <w:tr w:rsidR="005C4090" w:rsidRPr="00D93199" w14:paraId="6807C541" w14:textId="77777777" w:rsidTr="006B5FAC">
        <w:trPr>
          <w:trHeight w:val="786"/>
        </w:trPr>
        <w:tc>
          <w:tcPr>
            <w:tcW w:w="2245" w:type="dxa"/>
            <w:vMerge/>
          </w:tcPr>
          <w:p w14:paraId="6807C53D" w14:textId="77777777" w:rsidR="005C4090" w:rsidRPr="008F51CA" w:rsidRDefault="005C4090" w:rsidP="00AE2310">
            <w:pPr>
              <w:rPr>
                <w:rFonts w:ascii="Arial" w:hAnsi="Arial" w:cs="Arial"/>
              </w:rPr>
            </w:pPr>
          </w:p>
        </w:tc>
        <w:tc>
          <w:tcPr>
            <w:tcW w:w="3330" w:type="dxa"/>
            <w:vMerge w:val="restart"/>
            <w:tcBorders>
              <w:top w:val="single" w:sz="4" w:space="0" w:color="auto"/>
            </w:tcBorders>
          </w:tcPr>
          <w:p w14:paraId="6807C53E" w14:textId="77777777" w:rsidR="005C4090" w:rsidRPr="00D3495E" w:rsidRDefault="005C4090" w:rsidP="00AE2310">
            <w:pPr>
              <w:spacing w:before="36" w:line="287" w:lineRule="exact"/>
              <w:ind w:right="288"/>
              <w:rPr>
                <w:rFonts w:ascii="Arial" w:hAnsi="Arial" w:cs="Arial"/>
                <w:spacing w:val="-1"/>
                <w:sz w:val="20"/>
                <w:szCs w:val="20"/>
              </w:rPr>
            </w:pPr>
            <w:r w:rsidRPr="00D3495E">
              <w:rPr>
                <w:rFonts w:ascii="Arial" w:hAnsi="Arial" w:cs="Arial"/>
                <w:spacing w:val="-1"/>
                <w:sz w:val="20"/>
                <w:szCs w:val="20"/>
              </w:rPr>
              <w:t>2.5 Sift out those that do not meet the agreed criteria</w:t>
            </w:r>
          </w:p>
          <w:p w14:paraId="6807C53F" w14:textId="77777777" w:rsidR="005C4090" w:rsidRPr="00D3495E" w:rsidRDefault="005C4090" w:rsidP="00124EA5">
            <w:pPr>
              <w:pStyle w:val="Default"/>
              <w:rPr>
                <w:rFonts w:ascii="Arial" w:hAnsi="Arial" w:cs="Arial"/>
                <w:color w:val="auto"/>
                <w:spacing w:val="-1"/>
                <w:sz w:val="20"/>
                <w:szCs w:val="20"/>
              </w:rPr>
            </w:pPr>
          </w:p>
        </w:tc>
        <w:tc>
          <w:tcPr>
            <w:tcW w:w="7375" w:type="dxa"/>
          </w:tcPr>
          <w:p w14:paraId="6807C540" w14:textId="77777777" w:rsidR="005C4090" w:rsidRPr="00D3495E" w:rsidRDefault="005C4090" w:rsidP="00D07373">
            <w:pPr>
              <w:rPr>
                <w:rFonts w:ascii="Arial" w:hAnsi="Arial" w:cs="Arial"/>
                <w:sz w:val="20"/>
                <w:szCs w:val="20"/>
              </w:rPr>
            </w:pPr>
            <w:r w:rsidRPr="00D3495E">
              <w:rPr>
                <w:rFonts w:ascii="Arial" w:hAnsi="Arial" w:cs="Arial"/>
                <w:sz w:val="20"/>
                <w:szCs w:val="20"/>
              </w:rPr>
              <w:t xml:space="preserve">Tenders that satisfy the agreed criteria should be selected in line with the </w:t>
            </w:r>
            <w:proofErr w:type="spellStart"/>
            <w:r w:rsidRPr="00D3495E">
              <w:rPr>
                <w:rFonts w:ascii="Arial" w:hAnsi="Arial" w:cs="Arial"/>
                <w:sz w:val="20"/>
                <w:szCs w:val="20"/>
              </w:rPr>
              <w:t>organisation’s</w:t>
            </w:r>
            <w:proofErr w:type="spellEnd"/>
            <w:r w:rsidRPr="00D3495E">
              <w:rPr>
                <w:rFonts w:ascii="Arial" w:hAnsi="Arial" w:cs="Arial"/>
                <w:sz w:val="20"/>
                <w:szCs w:val="20"/>
              </w:rPr>
              <w:t xml:space="preserve"> procurement policy</w:t>
            </w:r>
          </w:p>
        </w:tc>
      </w:tr>
      <w:tr w:rsidR="005C4090" w:rsidRPr="00D93199" w14:paraId="6807C546" w14:textId="77777777" w:rsidTr="00A16E7C">
        <w:trPr>
          <w:trHeight w:val="622"/>
        </w:trPr>
        <w:tc>
          <w:tcPr>
            <w:tcW w:w="2245" w:type="dxa"/>
            <w:vMerge/>
          </w:tcPr>
          <w:p w14:paraId="6807C542" w14:textId="77777777" w:rsidR="005C4090" w:rsidRPr="008F51CA" w:rsidRDefault="005C4090" w:rsidP="00AE2310">
            <w:pPr>
              <w:rPr>
                <w:rFonts w:ascii="Arial" w:hAnsi="Arial" w:cs="Arial"/>
              </w:rPr>
            </w:pPr>
          </w:p>
        </w:tc>
        <w:tc>
          <w:tcPr>
            <w:tcW w:w="3330" w:type="dxa"/>
            <w:vMerge/>
          </w:tcPr>
          <w:p w14:paraId="6807C543" w14:textId="77777777" w:rsidR="005C4090" w:rsidRPr="00D3495E" w:rsidRDefault="005C4090" w:rsidP="00AE2310">
            <w:pPr>
              <w:spacing w:before="36" w:line="287" w:lineRule="exact"/>
              <w:ind w:right="288"/>
              <w:rPr>
                <w:rFonts w:ascii="Arial" w:hAnsi="Arial" w:cs="Arial"/>
                <w:spacing w:val="-1"/>
                <w:sz w:val="20"/>
                <w:szCs w:val="20"/>
              </w:rPr>
            </w:pPr>
          </w:p>
        </w:tc>
        <w:tc>
          <w:tcPr>
            <w:tcW w:w="7375" w:type="dxa"/>
          </w:tcPr>
          <w:p w14:paraId="6807C544" w14:textId="77777777" w:rsidR="005C4090" w:rsidRPr="00D3495E" w:rsidRDefault="005C4090" w:rsidP="00127F57">
            <w:pPr>
              <w:pStyle w:val="Subtitle"/>
              <w:rPr>
                <w:rFonts w:ascii="Arial" w:hAnsi="Arial" w:cs="Arial"/>
                <w:i/>
                <w:color w:val="auto"/>
                <w:sz w:val="20"/>
                <w:szCs w:val="20"/>
              </w:rPr>
            </w:pPr>
            <w:r w:rsidRPr="00D3495E">
              <w:rPr>
                <w:rFonts w:ascii="Arial" w:hAnsi="Arial" w:cs="Arial"/>
                <w:i/>
                <w:color w:val="auto"/>
                <w:sz w:val="20"/>
                <w:szCs w:val="20"/>
              </w:rPr>
              <w:t>In this criterion the learner is required to demonstrate how he or she sifted out those that do not meet the agreed criteria</w:t>
            </w:r>
            <w:r>
              <w:rPr>
                <w:rFonts w:ascii="Arial" w:hAnsi="Arial" w:cs="Arial"/>
                <w:i/>
                <w:color w:val="auto"/>
                <w:sz w:val="20"/>
                <w:szCs w:val="20"/>
              </w:rPr>
              <w:t>,</w:t>
            </w:r>
            <w:r w:rsidRPr="00D3495E">
              <w:rPr>
                <w:rFonts w:ascii="Arial" w:hAnsi="Arial" w:cs="Arial"/>
                <w:i/>
                <w:color w:val="auto"/>
                <w:sz w:val="20"/>
                <w:szCs w:val="20"/>
              </w:rPr>
              <w:t xml:space="preserve"> explaining the process followed</w:t>
            </w:r>
          </w:p>
          <w:p w14:paraId="6807C545" w14:textId="77777777" w:rsidR="005C4090" w:rsidRPr="00D3495E" w:rsidRDefault="005C4090" w:rsidP="00127F57">
            <w:pPr>
              <w:pStyle w:val="Subtitle"/>
              <w:rPr>
                <w:rFonts w:ascii="Arial" w:hAnsi="Arial" w:cs="Arial"/>
                <w:color w:val="auto"/>
                <w:sz w:val="20"/>
                <w:szCs w:val="20"/>
              </w:rPr>
            </w:pPr>
          </w:p>
        </w:tc>
      </w:tr>
      <w:tr w:rsidR="005C4090" w:rsidRPr="00D93199" w14:paraId="6807C54B" w14:textId="77777777" w:rsidTr="005A57C3">
        <w:trPr>
          <w:trHeight w:val="896"/>
        </w:trPr>
        <w:tc>
          <w:tcPr>
            <w:tcW w:w="2245" w:type="dxa"/>
            <w:vMerge/>
          </w:tcPr>
          <w:p w14:paraId="6807C547" w14:textId="77777777" w:rsidR="005C4090" w:rsidRPr="008F51CA" w:rsidRDefault="005C4090" w:rsidP="00AE2310">
            <w:pPr>
              <w:rPr>
                <w:rFonts w:ascii="Arial" w:hAnsi="Arial" w:cs="Arial"/>
              </w:rPr>
            </w:pPr>
          </w:p>
        </w:tc>
        <w:tc>
          <w:tcPr>
            <w:tcW w:w="3330" w:type="dxa"/>
            <w:vMerge w:val="restart"/>
          </w:tcPr>
          <w:p w14:paraId="6807C548" w14:textId="77777777" w:rsidR="005C4090" w:rsidRPr="00D3495E" w:rsidRDefault="005C4090" w:rsidP="00DD4A97">
            <w:pPr>
              <w:pStyle w:val="Default"/>
              <w:rPr>
                <w:rFonts w:ascii="Arial" w:hAnsi="Arial" w:cs="Arial"/>
                <w:color w:val="auto"/>
                <w:sz w:val="20"/>
                <w:szCs w:val="20"/>
              </w:rPr>
            </w:pPr>
            <w:r w:rsidRPr="00D3495E">
              <w:rPr>
                <w:rFonts w:ascii="Arial" w:hAnsi="Arial" w:cs="Arial"/>
                <w:color w:val="auto"/>
                <w:spacing w:val="-1"/>
                <w:sz w:val="20"/>
                <w:szCs w:val="20"/>
              </w:rPr>
              <w:t>2.6</w:t>
            </w:r>
            <w:r w:rsidRPr="00D3495E">
              <w:rPr>
                <w:rFonts w:ascii="Arial" w:hAnsi="Arial" w:cs="Arial"/>
                <w:color w:val="auto"/>
                <w:sz w:val="20"/>
                <w:szCs w:val="20"/>
              </w:rPr>
              <w:t xml:space="preserve"> Confirm that the track records of shortlisted suppliers demonstrate the required technical capability </w:t>
            </w:r>
          </w:p>
          <w:p w14:paraId="6807C549" w14:textId="77777777" w:rsidR="005C4090" w:rsidRPr="00D3495E" w:rsidRDefault="005C4090" w:rsidP="005A57C3">
            <w:pPr>
              <w:pStyle w:val="Default"/>
              <w:rPr>
                <w:rFonts w:ascii="Arial" w:hAnsi="Arial" w:cs="Arial"/>
                <w:color w:val="auto"/>
                <w:spacing w:val="-1"/>
                <w:sz w:val="20"/>
                <w:szCs w:val="20"/>
              </w:rPr>
            </w:pPr>
          </w:p>
        </w:tc>
        <w:tc>
          <w:tcPr>
            <w:tcW w:w="7375" w:type="dxa"/>
          </w:tcPr>
          <w:p w14:paraId="6807C54A" w14:textId="77777777" w:rsidR="005C4090" w:rsidRPr="00D3495E" w:rsidRDefault="005C4090" w:rsidP="00264CFD">
            <w:pPr>
              <w:rPr>
                <w:rFonts w:ascii="Arial" w:hAnsi="Arial" w:cs="Arial"/>
                <w:sz w:val="20"/>
                <w:szCs w:val="20"/>
              </w:rPr>
            </w:pPr>
            <w:proofErr w:type="spellStart"/>
            <w:r w:rsidRPr="00D3495E">
              <w:rPr>
                <w:rFonts w:ascii="Arial" w:hAnsi="Arial" w:cs="Arial"/>
                <w:sz w:val="20"/>
                <w:szCs w:val="20"/>
              </w:rPr>
              <w:t>Organisations</w:t>
            </w:r>
            <w:proofErr w:type="spellEnd"/>
            <w:r w:rsidRPr="00D3495E">
              <w:rPr>
                <w:rFonts w:ascii="Arial" w:hAnsi="Arial" w:cs="Arial"/>
                <w:sz w:val="20"/>
                <w:szCs w:val="20"/>
              </w:rPr>
              <w:t xml:space="preserve"> will normally have pre</w:t>
            </w:r>
            <w:r>
              <w:rPr>
                <w:rFonts w:ascii="Arial" w:hAnsi="Arial" w:cs="Arial"/>
                <w:sz w:val="20"/>
                <w:szCs w:val="20"/>
              </w:rPr>
              <w:t>-</w:t>
            </w:r>
            <w:r w:rsidRPr="00D3495E">
              <w:rPr>
                <w:rFonts w:ascii="Arial" w:hAnsi="Arial" w:cs="Arial"/>
                <w:sz w:val="20"/>
                <w:szCs w:val="20"/>
              </w:rPr>
              <w:t>qualification requirements for suppliers</w:t>
            </w:r>
            <w:r>
              <w:rPr>
                <w:rFonts w:ascii="Arial" w:hAnsi="Arial" w:cs="Arial"/>
                <w:sz w:val="20"/>
                <w:szCs w:val="20"/>
              </w:rPr>
              <w:t xml:space="preserve">. Pre-qualification criteria </w:t>
            </w:r>
            <w:r w:rsidRPr="00D3495E">
              <w:rPr>
                <w:rFonts w:ascii="Arial" w:hAnsi="Arial" w:cs="Arial"/>
                <w:sz w:val="20"/>
                <w:szCs w:val="20"/>
              </w:rPr>
              <w:t>and processes for evidencing suppliers</w:t>
            </w:r>
            <w:r>
              <w:rPr>
                <w:rFonts w:ascii="Arial" w:hAnsi="Arial" w:cs="Arial"/>
                <w:sz w:val="20"/>
                <w:szCs w:val="20"/>
              </w:rPr>
              <w:t>’</w:t>
            </w:r>
            <w:r w:rsidRPr="00D3495E">
              <w:rPr>
                <w:rFonts w:ascii="Arial" w:hAnsi="Arial" w:cs="Arial"/>
                <w:sz w:val="20"/>
                <w:szCs w:val="20"/>
              </w:rPr>
              <w:t xml:space="preserve"> track records are set out in the </w:t>
            </w:r>
            <w:proofErr w:type="spellStart"/>
            <w:r w:rsidRPr="00D3495E">
              <w:rPr>
                <w:rFonts w:ascii="Arial" w:hAnsi="Arial" w:cs="Arial"/>
                <w:sz w:val="20"/>
                <w:szCs w:val="20"/>
              </w:rPr>
              <w:t>organisation’s</w:t>
            </w:r>
            <w:proofErr w:type="spellEnd"/>
            <w:r w:rsidRPr="00D3495E">
              <w:rPr>
                <w:rFonts w:ascii="Arial" w:hAnsi="Arial" w:cs="Arial"/>
                <w:sz w:val="20"/>
                <w:szCs w:val="20"/>
              </w:rPr>
              <w:t xml:space="preserve"> procurement policy</w:t>
            </w:r>
          </w:p>
        </w:tc>
      </w:tr>
      <w:tr w:rsidR="005C4090" w:rsidRPr="00D93199" w14:paraId="6807C54F" w14:textId="77777777" w:rsidTr="005A57C3">
        <w:trPr>
          <w:trHeight w:val="776"/>
        </w:trPr>
        <w:tc>
          <w:tcPr>
            <w:tcW w:w="2245" w:type="dxa"/>
            <w:vMerge/>
          </w:tcPr>
          <w:p w14:paraId="6807C54C" w14:textId="77777777" w:rsidR="005C4090" w:rsidRPr="008F51CA" w:rsidRDefault="005C4090" w:rsidP="00AE2310">
            <w:pPr>
              <w:rPr>
                <w:rFonts w:ascii="Arial" w:hAnsi="Arial" w:cs="Arial"/>
              </w:rPr>
            </w:pPr>
          </w:p>
        </w:tc>
        <w:tc>
          <w:tcPr>
            <w:tcW w:w="3330" w:type="dxa"/>
            <w:vMerge/>
          </w:tcPr>
          <w:p w14:paraId="6807C54D" w14:textId="77777777" w:rsidR="005C4090" w:rsidRPr="00D3495E" w:rsidRDefault="005C4090" w:rsidP="00AE2310">
            <w:pPr>
              <w:spacing w:before="36" w:line="287" w:lineRule="exact"/>
              <w:ind w:right="288"/>
              <w:rPr>
                <w:rFonts w:ascii="Arial" w:hAnsi="Arial" w:cs="Arial"/>
                <w:spacing w:val="-1"/>
                <w:sz w:val="20"/>
                <w:szCs w:val="20"/>
              </w:rPr>
            </w:pPr>
          </w:p>
        </w:tc>
        <w:tc>
          <w:tcPr>
            <w:tcW w:w="7375" w:type="dxa"/>
          </w:tcPr>
          <w:p w14:paraId="6807C54E" w14:textId="77777777" w:rsidR="005C4090" w:rsidRPr="00D3495E" w:rsidRDefault="005C4090" w:rsidP="005A57C3">
            <w:pPr>
              <w:pStyle w:val="Subtitle"/>
              <w:rPr>
                <w:rFonts w:ascii="Arial" w:hAnsi="Arial" w:cs="Arial"/>
                <w:i/>
                <w:color w:val="auto"/>
                <w:sz w:val="20"/>
                <w:szCs w:val="20"/>
              </w:rPr>
            </w:pPr>
            <w:r w:rsidRPr="00D3495E">
              <w:rPr>
                <w:rFonts w:ascii="Arial" w:hAnsi="Arial" w:cs="Arial"/>
                <w:i/>
                <w:color w:val="auto"/>
                <w:sz w:val="20"/>
                <w:szCs w:val="20"/>
              </w:rPr>
              <w:t xml:space="preserve">In this criterion the learner is required to demonstrate how he or she confirmed that the track records of shortlisted suppliers demonstrate the required technical capability </w:t>
            </w:r>
          </w:p>
        </w:tc>
      </w:tr>
      <w:tr w:rsidR="00193362" w:rsidRPr="00D93199" w14:paraId="6807C553" w14:textId="77777777" w:rsidTr="00193362">
        <w:trPr>
          <w:trHeight w:val="553"/>
        </w:trPr>
        <w:tc>
          <w:tcPr>
            <w:tcW w:w="12950" w:type="dxa"/>
            <w:gridSpan w:val="3"/>
          </w:tcPr>
          <w:p w14:paraId="6807C550" w14:textId="77777777" w:rsidR="00264CFD" w:rsidRPr="00E33394" w:rsidRDefault="00264CFD" w:rsidP="00264CFD">
            <w:pPr>
              <w:rPr>
                <w:rFonts w:ascii="Arial" w:hAnsi="Arial" w:cs="Arial"/>
                <w:b/>
                <w:sz w:val="20"/>
                <w:szCs w:val="20"/>
              </w:rPr>
            </w:pPr>
          </w:p>
          <w:p w14:paraId="6807C551" w14:textId="77777777" w:rsidR="00193362" w:rsidRPr="00E33394" w:rsidRDefault="00193362" w:rsidP="00E33394">
            <w:pPr>
              <w:jc w:val="center"/>
              <w:rPr>
                <w:rFonts w:ascii="Arial" w:hAnsi="Arial" w:cs="Arial"/>
                <w:sz w:val="20"/>
                <w:szCs w:val="20"/>
              </w:rPr>
            </w:pPr>
            <w:r w:rsidRPr="00E33394">
              <w:rPr>
                <w:rFonts w:ascii="Arial" w:hAnsi="Arial" w:cs="Arial"/>
                <w:sz w:val="20"/>
                <w:szCs w:val="20"/>
              </w:rPr>
              <w:t>This section requires the learner to show, with supporting evidence, how they have negotiated the award of a contract</w:t>
            </w:r>
          </w:p>
          <w:p w14:paraId="6807C552" w14:textId="77777777" w:rsidR="00264CFD" w:rsidRPr="00E33394" w:rsidRDefault="00264CFD" w:rsidP="00264CFD">
            <w:pPr>
              <w:rPr>
                <w:rFonts w:ascii="Arial" w:hAnsi="Arial" w:cs="Arial"/>
                <w:b/>
                <w:sz w:val="20"/>
                <w:szCs w:val="20"/>
              </w:rPr>
            </w:pPr>
          </w:p>
        </w:tc>
      </w:tr>
      <w:tr w:rsidR="003B6C45" w:rsidRPr="00D93199" w14:paraId="6807C55E" w14:textId="77777777" w:rsidTr="00446941">
        <w:trPr>
          <w:trHeight w:val="260"/>
        </w:trPr>
        <w:tc>
          <w:tcPr>
            <w:tcW w:w="2245" w:type="dxa"/>
            <w:vMerge w:val="restart"/>
            <w:tcBorders>
              <w:top w:val="single" w:sz="4" w:space="0" w:color="auto"/>
            </w:tcBorders>
          </w:tcPr>
          <w:p w14:paraId="6807C554" w14:textId="77777777" w:rsidR="00A16E7C" w:rsidRPr="00E33394" w:rsidRDefault="003B6C45" w:rsidP="00A16E7C">
            <w:pPr>
              <w:pStyle w:val="Default"/>
              <w:rPr>
                <w:rFonts w:ascii="Arial" w:hAnsi="Arial" w:cs="Arial"/>
                <w:color w:val="auto"/>
                <w:sz w:val="20"/>
                <w:szCs w:val="20"/>
              </w:rPr>
            </w:pPr>
            <w:r w:rsidRPr="00E33394">
              <w:rPr>
                <w:rFonts w:ascii="Arial" w:hAnsi="Arial" w:cs="Arial"/>
                <w:color w:val="auto"/>
                <w:sz w:val="20"/>
                <w:szCs w:val="20"/>
              </w:rPr>
              <w:t xml:space="preserve">3. </w:t>
            </w:r>
            <w:r w:rsidR="00A16E7C" w:rsidRPr="00E33394">
              <w:rPr>
                <w:rFonts w:ascii="Arial" w:hAnsi="Arial" w:cs="Arial"/>
                <w:color w:val="auto"/>
                <w:sz w:val="20"/>
                <w:szCs w:val="20"/>
              </w:rPr>
              <w:t xml:space="preserve">Be able to negotiate the award of contracts </w:t>
            </w:r>
          </w:p>
          <w:p w14:paraId="6807C555" w14:textId="77777777" w:rsidR="00124EA5" w:rsidRPr="00E33394" w:rsidRDefault="00124EA5" w:rsidP="00124EA5">
            <w:pPr>
              <w:rPr>
                <w:rFonts w:ascii="Arial" w:hAnsi="Arial" w:cs="Arial"/>
                <w:sz w:val="20"/>
                <w:szCs w:val="20"/>
              </w:rPr>
            </w:pPr>
          </w:p>
          <w:p w14:paraId="6807C556" w14:textId="77777777" w:rsidR="00124EA5" w:rsidRPr="00E33394" w:rsidRDefault="00124EA5" w:rsidP="00124EA5">
            <w:pPr>
              <w:pStyle w:val="Default"/>
              <w:rPr>
                <w:rFonts w:ascii="Arial" w:hAnsi="Arial" w:cs="Arial"/>
                <w:color w:val="auto"/>
                <w:sz w:val="20"/>
                <w:szCs w:val="20"/>
              </w:rPr>
            </w:pPr>
          </w:p>
          <w:p w14:paraId="6807C557" w14:textId="77777777" w:rsidR="003B6C45" w:rsidRPr="00E33394" w:rsidRDefault="003B6C45" w:rsidP="00A16E7C">
            <w:pPr>
              <w:pStyle w:val="Default"/>
              <w:rPr>
                <w:rFonts w:ascii="Arial" w:hAnsi="Arial" w:cs="Arial"/>
                <w:color w:val="auto"/>
                <w:sz w:val="20"/>
                <w:szCs w:val="20"/>
              </w:rPr>
            </w:pPr>
          </w:p>
        </w:tc>
        <w:tc>
          <w:tcPr>
            <w:tcW w:w="3330" w:type="dxa"/>
            <w:vMerge w:val="restart"/>
            <w:tcBorders>
              <w:top w:val="single" w:sz="4" w:space="0" w:color="auto"/>
            </w:tcBorders>
          </w:tcPr>
          <w:p w14:paraId="6807C558" w14:textId="77777777" w:rsidR="00A16E7C" w:rsidRPr="00E33394" w:rsidRDefault="003B6C45" w:rsidP="00A16E7C">
            <w:pPr>
              <w:pStyle w:val="Default"/>
              <w:rPr>
                <w:rFonts w:ascii="Arial" w:hAnsi="Arial" w:cs="Arial"/>
                <w:color w:val="auto"/>
                <w:sz w:val="20"/>
                <w:szCs w:val="20"/>
              </w:rPr>
            </w:pPr>
            <w:r w:rsidRPr="00E33394">
              <w:rPr>
                <w:rFonts w:ascii="Arial" w:hAnsi="Arial" w:cs="Arial"/>
                <w:color w:val="auto"/>
                <w:spacing w:val="-1"/>
                <w:sz w:val="20"/>
                <w:szCs w:val="20"/>
              </w:rPr>
              <w:t xml:space="preserve">3.1 </w:t>
            </w:r>
            <w:r w:rsidR="00A16E7C" w:rsidRPr="00E33394">
              <w:rPr>
                <w:rFonts w:ascii="Arial" w:hAnsi="Arial" w:cs="Arial"/>
                <w:color w:val="auto"/>
                <w:sz w:val="20"/>
                <w:szCs w:val="20"/>
              </w:rPr>
              <w:t xml:space="preserve">Explain the provisions of contract law that affect the negotiation </w:t>
            </w:r>
          </w:p>
          <w:p w14:paraId="6807C559" w14:textId="77777777" w:rsidR="00124EA5" w:rsidRPr="00E33394" w:rsidRDefault="00124EA5" w:rsidP="00AE2310">
            <w:pPr>
              <w:spacing w:before="36" w:line="287" w:lineRule="exact"/>
              <w:ind w:right="288"/>
              <w:rPr>
                <w:rFonts w:ascii="Arial" w:hAnsi="Arial" w:cs="Arial"/>
                <w:spacing w:val="-1"/>
                <w:sz w:val="20"/>
                <w:szCs w:val="20"/>
              </w:rPr>
            </w:pPr>
          </w:p>
          <w:p w14:paraId="6807C55A" w14:textId="77777777" w:rsidR="00124EA5" w:rsidRPr="00E33394" w:rsidRDefault="00124EA5" w:rsidP="00124EA5">
            <w:pPr>
              <w:pStyle w:val="Default"/>
              <w:rPr>
                <w:rFonts w:ascii="Arial" w:hAnsi="Arial" w:cs="Arial"/>
                <w:color w:val="auto"/>
                <w:sz w:val="20"/>
                <w:szCs w:val="20"/>
              </w:rPr>
            </w:pPr>
          </w:p>
          <w:p w14:paraId="6807C55B" w14:textId="77777777" w:rsidR="003B6C45" w:rsidRPr="00E33394" w:rsidRDefault="003B6C45" w:rsidP="00A16E7C">
            <w:pPr>
              <w:pStyle w:val="Default"/>
              <w:rPr>
                <w:rFonts w:ascii="Arial" w:hAnsi="Arial" w:cs="Arial"/>
                <w:color w:val="auto"/>
                <w:spacing w:val="-1"/>
                <w:sz w:val="20"/>
                <w:szCs w:val="20"/>
              </w:rPr>
            </w:pPr>
          </w:p>
        </w:tc>
        <w:tc>
          <w:tcPr>
            <w:tcW w:w="7375" w:type="dxa"/>
          </w:tcPr>
          <w:p w14:paraId="6807C55C" w14:textId="77777777" w:rsidR="00A40045" w:rsidRPr="00E33394" w:rsidRDefault="00AC5C80" w:rsidP="00AC5C80">
            <w:pPr>
              <w:rPr>
                <w:rFonts w:ascii="Arial" w:hAnsi="Arial" w:cs="Arial"/>
                <w:sz w:val="20"/>
                <w:szCs w:val="20"/>
              </w:rPr>
            </w:pPr>
            <w:r w:rsidRPr="00E33394">
              <w:rPr>
                <w:rFonts w:ascii="Arial" w:hAnsi="Arial" w:cs="Arial"/>
                <w:sz w:val="20"/>
                <w:szCs w:val="20"/>
              </w:rPr>
              <w:t>A contract is an agre</w:t>
            </w:r>
            <w:r w:rsidR="00264CFD" w:rsidRPr="00E33394">
              <w:rPr>
                <w:rFonts w:ascii="Arial" w:hAnsi="Arial" w:cs="Arial"/>
                <w:sz w:val="20"/>
                <w:szCs w:val="20"/>
              </w:rPr>
              <w:t xml:space="preserve">ement voluntarily entered into </w:t>
            </w:r>
            <w:r w:rsidRPr="00E33394">
              <w:rPr>
                <w:rFonts w:ascii="Arial" w:hAnsi="Arial" w:cs="Arial"/>
                <w:sz w:val="20"/>
                <w:szCs w:val="20"/>
              </w:rPr>
              <w:t>between two or more parties Involving an ‘offer’ and ‘acceptance’ which constitutes a legally enforceable promise that som</w:t>
            </w:r>
            <w:r w:rsidR="00264CFD" w:rsidRPr="00E33394">
              <w:rPr>
                <w:rFonts w:ascii="Arial" w:hAnsi="Arial" w:cs="Arial"/>
                <w:sz w:val="20"/>
                <w:szCs w:val="20"/>
              </w:rPr>
              <w:t>ething will or will not be done</w:t>
            </w:r>
            <w:r w:rsidRPr="00E33394">
              <w:rPr>
                <w:rFonts w:ascii="Arial" w:hAnsi="Arial" w:cs="Arial"/>
                <w:sz w:val="20"/>
                <w:szCs w:val="20"/>
              </w:rPr>
              <w:t xml:space="preserve">. Failure of either party to comply with the </w:t>
            </w:r>
            <w:r w:rsidR="00E33394" w:rsidRPr="00E33394">
              <w:rPr>
                <w:rFonts w:ascii="Arial" w:hAnsi="Arial" w:cs="Arial"/>
                <w:sz w:val="20"/>
                <w:szCs w:val="20"/>
              </w:rPr>
              <w:t>agreement as</w:t>
            </w:r>
            <w:r w:rsidRPr="00E33394">
              <w:rPr>
                <w:rFonts w:ascii="Arial" w:hAnsi="Arial" w:cs="Arial"/>
                <w:sz w:val="20"/>
                <w:szCs w:val="20"/>
              </w:rPr>
              <w:t xml:space="preserve"> set </w:t>
            </w:r>
            <w:r w:rsidR="00E33394" w:rsidRPr="00E33394">
              <w:rPr>
                <w:rFonts w:ascii="Arial" w:hAnsi="Arial" w:cs="Arial"/>
                <w:sz w:val="20"/>
                <w:szCs w:val="20"/>
              </w:rPr>
              <w:t>out in</w:t>
            </w:r>
            <w:r w:rsidRPr="00E33394">
              <w:rPr>
                <w:rFonts w:ascii="Arial" w:hAnsi="Arial" w:cs="Arial"/>
                <w:sz w:val="20"/>
                <w:szCs w:val="20"/>
              </w:rPr>
              <w:t xml:space="preserve"> the contract can lead to legal actions and claims for damages. Before entering into any contract negotiation the negotiator should be aware of the legal situation seeking advice if necessary. </w:t>
            </w:r>
          </w:p>
          <w:p w14:paraId="6807C55D" w14:textId="77777777" w:rsidR="00264CFD" w:rsidRPr="00E33394" w:rsidRDefault="00264CFD" w:rsidP="00AC5C80">
            <w:pPr>
              <w:rPr>
                <w:rFonts w:ascii="Arial" w:hAnsi="Arial" w:cs="Arial"/>
                <w:sz w:val="20"/>
                <w:szCs w:val="20"/>
              </w:rPr>
            </w:pPr>
          </w:p>
        </w:tc>
      </w:tr>
      <w:tr w:rsidR="003B6C45" w:rsidRPr="00D93199" w14:paraId="6807C562" w14:textId="77777777" w:rsidTr="00446941">
        <w:trPr>
          <w:trHeight w:val="260"/>
        </w:trPr>
        <w:tc>
          <w:tcPr>
            <w:tcW w:w="2245" w:type="dxa"/>
            <w:vMerge/>
          </w:tcPr>
          <w:p w14:paraId="6807C55F" w14:textId="77777777" w:rsidR="003B6C45" w:rsidRPr="00E33394" w:rsidRDefault="003B6C45" w:rsidP="008A5C11">
            <w:pPr>
              <w:rPr>
                <w:rFonts w:ascii="Arial" w:hAnsi="Arial" w:cs="Arial"/>
                <w:sz w:val="20"/>
                <w:szCs w:val="20"/>
              </w:rPr>
            </w:pPr>
          </w:p>
        </w:tc>
        <w:tc>
          <w:tcPr>
            <w:tcW w:w="3330" w:type="dxa"/>
            <w:vMerge/>
            <w:tcBorders>
              <w:bottom w:val="single" w:sz="4" w:space="0" w:color="auto"/>
            </w:tcBorders>
          </w:tcPr>
          <w:p w14:paraId="6807C560" w14:textId="77777777" w:rsidR="003B6C45" w:rsidRPr="00E33394" w:rsidRDefault="003B6C45" w:rsidP="00BF13FF">
            <w:pPr>
              <w:spacing w:before="36" w:line="287" w:lineRule="exact"/>
              <w:ind w:right="288"/>
              <w:rPr>
                <w:rFonts w:ascii="Arial" w:hAnsi="Arial" w:cs="Arial"/>
                <w:spacing w:val="-1"/>
                <w:sz w:val="20"/>
                <w:szCs w:val="20"/>
              </w:rPr>
            </w:pPr>
          </w:p>
        </w:tc>
        <w:tc>
          <w:tcPr>
            <w:tcW w:w="7375" w:type="dxa"/>
          </w:tcPr>
          <w:p w14:paraId="6807C561" w14:textId="77777777" w:rsidR="003B6C45" w:rsidRPr="00E33394" w:rsidRDefault="003B6C45" w:rsidP="00E33394">
            <w:pPr>
              <w:pStyle w:val="Subtitle"/>
              <w:rPr>
                <w:rFonts w:ascii="Arial" w:hAnsi="Arial" w:cs="Arial"/>
                <w:i/>
                <w:color w:val="auto"/>
                <w:sz w:val="20"/>
                <w:szCs w:val="20"/>
              </w:rPr>
            </w:pPr>
            <w:r w:rsidRPr="00E33394">
              <w:rPr>
                <w:rFonts w:ascii="Arial" w:hAnsi="Arial" w:cs="Arial"/>
                <w:i/>
                <w:color w:val="auto"/>
                <w:sz w:val="20"/>
                <w:szCs w:val="20"/>
              </w:rPr>
              <w:t xml:space="preserve">In this criterion the learner is required to </w:t>
            </w:r>
            <w:r w:rsidR="00A40045" w:rsidRPr="00E33394">
              <w:rPr>
                <w:rFonts w:ascii="Arial" w:hAnsi="Arial" w:cs="Arial"/>
                <w:i/>
                <w:color w:val="auto"/>
                <w:sz w:val="20"/>
                <w:szCs w:val="20"/>
              </w:rPr>
              <w:t>explain the provisions of contract law that affect the negotiation of this specific contract</w:t>
            </w:r>
          </w:p>
        </w:tc>
      </w:tr>
      <w:tr w:rsidR="003B6C45" w:rsidRPr="00D93199" w14:paraId="6807C56F" w14:textId="77777777" w:rsidTr="00537AC0">
        <w:trPr>
          <w:trHeight w:val="699"/>
        </w:trPr>
        <w:tc>
          <w:tcPr>
            <w:tcW w:w="2245" w:type="dxa"/>
            <w:vMerge/>
          </w:tcPr>
          <w:p w14:paraId="6807C563" w14:textId="77777777" w:rsidR="003B6C45" w:rsidRPr="00E33394" w:rsidRDefault="003B6C45" w:rsidP="008A5C11">
            <w:pPr>
              <w:rPr>
                <w:rFonts w:ascii="Arial" w:hAnsi="Arial" w:cs="Arial"/>
                <w:sz w:val="20"/>
                <w:szCs w:val="20"/>
              </w:rPr>
            </w:pPr>
          </w:p>
        </w:tc>
        <w:tc>
          <w:tcPr>
            <w:tcW w:w="3330" w:type="dxa"/>
            <w:vMerge w:val="restart"/>
            <w:tcBorders>
              <w:top w:val="single" w:sz="4" w:space="0" w:color="auto"/>
            </w:tcBorders>
          </w:tcPr>
          <w:p w14:paraId="6807C564" w14:textId="77777777" w:rsidR="00A40045" w:rsidRPr="00772C79" w:rsidRDefault="003B6C45" w:rsidP="00A40045">
            <w:pPr>
              <w:pStyle w:val="Default"/>
              <w:rPr>
                <w:rFonts w:ascii="Arial" w:hAnsi="Arial" w:cs="Arial"/>
                <w:sz w:val="20"/>
                <w:szCs w:val="20"/>
              </w:rPr>
            </w:pPr>
            <w:r w:rsidRPr="00772C79">
              <w:rPr>
                <w:rFonts w:ascii="Arial" w:hAnsi="Arial" w:cs="Arial"/>
                <w:sz w:val="20"/>
                <w:szCs w:val="20"/>
              </w:rPr>
              <w:t xml:space="preserve">3.2 </w:t>
            </w:r>
            <w:r w:rsidR="00A40045" w:rsidRPr="00772C79">
              <w:rPr>
                <w:rFonts w:ascii="Arial" w:hAnsi="Arial" w:cs="Arial"/>
                <w:sz w:val="20"/>
                <w:szCs w:val="20"/>
              </w:rPr>
              <w:t xml:space="preserve">Devise a negotiating strategy that is appropriate to the contract and supplier </w:t>
            </w:r>
          </w:p>
          <w:p w14:paraId="6807C565" w14:textId="77777777" w:rsidR="00124EA5" w:rsidRPr="00772C79" w:rsidRDefault="00124EA5" w:rsidP="00AE2310">
            <w:pPr>
              <w:spacing w:before="72" w:line="292" w:lineRule="exact"/>
              <w:rPr>
                <w:rFonts w:ascii="Arial" w:hAnsi="Arial" w:cs="Arial"/>
                <w:color w:val="000000"/>
                <w:sz w:val="20"/>
                <w:szCs w:val="20"/>
              </w:rPr>
            </w:pPr>
          </w:p>
          <w:p w14:paraId="6807C566" w14:textId="77777777" w:rsidR="00124EA5" w:rsidRPr="00772C79" w:rsidRDefault="00124EA5" w:rsidP="00124EA5">
            <w:pPr>
              <w:pStyle w:val="Default"/>
              <w:rPr>
                <w:rFonts w:ascii="Arial" w:hAnsi="Arial" w:cs="Arial"/>
                <w:color w:val="auto"/>
                <w:sz w:val="20"/>
                <w:szCs w:val="20"/>
              </w:rPr>
            </w:pPr>
          </w:p>
          <w:p w14:paraId="6807C567" w14:textId="77777777" w:rsidR="003B6C45" w:rsidRPr="00772C79" w:rsidRDefault="003B6C45" w:rsidP="00A40045">
            <w:pPr>
              <w:pStyle w:val="Default"/>
              <w:rPr>
                <w:rFonts w:ascii="Arial" w:hAnsi="Arial" w:cs="Arial"/>
                <w:sz w:val="20"/>
                <w:szCs w:val="20"/>
              </w:rPr>
            </w:pPr>
          </w:p>
        </w:tc>
        <w:tc>
          <w:tcPr>
            <w:tcW w:w="7375" w:type="dxa"/>
          </w:tcPr>
          <w:p w14:paraId="6807C568" w14:textId="77777777" w:rsidR="008E4B96" w:rsidRPr="00772C79" w:rsidRDefault="001F7A46" w:rsidP="00193362">
            <w:pPr>
              <w:rPr>
                <w:rFonts w:ascii="Arial" w:hAnsi="Arial" w:cs="Arial"/>
                <w:sz w:val="20"/>
                <w:szCs w:val="20"/>
              </w:rPr>
            </w:pPr>
            <w:r w:rsidRPr="00772C79">
              <w:rPr>
                <w:rFonts w:ascii="Arial" w:hAnsi="Arial" w:cs="Arial"/>
                <w:sz w:val="20"/>
                <w:szCs w:val="20"/>
              </w:rPr>
              <w:t>There are number of models that can be used as the basis of a negotiating strategy most of which cover:</w:t>
            </w:r>
          </w:p>
          <w:p w14:paraId="6807C569" w14:textId="77777777" w:rsidR="001F7A46" w:rsidRPr="00772C79" w:rsidRDefault="001F7A46" w:rsidP="001F7A46">
            <w:pPr>
              <w:pStyle w:val="ListParagraph"/>
              <w:numPr>
                <w:ilvl w:val="0"/>
                <w:numId w:val="28"/>
              </w:numPr>
              <w:rPr>
                <w:rFonts w:ascii="Arial" w:hAnsi="Arial" w:cs="Arial"/>
                <w:sz w:val="20"/>
                <w:szCs w:val="20"/>
              </w:rPr>
            </w:pPr>
            <w:r w:rsidRPr="00772C79">
              <w:rPr>
                <w:rFonts w:ascii="Arial" w:hAnsi="Arial" w:cs="Arial"/>
                <w:sz w:val="20"/>
                <w:szCs w:val="20"/>
              </w:rPr>
              <w:t>Setting objectives for the negotiation</w:t>
            </w:r>
          </w:p>
          <w:p w14:paraId="6807C56A" w14:textId="77777777" w:rsidR="001F7A46" w:rsidRPr="00772C79" w:rsidRDefault="001F7A46" w:rsidP="001F7A46">
            <w:pPr>
              <w:pStyle w:val="ListParagraph"/>
              <w:numPr>
                <w:ilvl w:val="0"/>
                <w:numId w:val="28"/>
              </w:numPr>
              <w:rPr>
                <w:rFonts w:ascii="Arial" w:hAnsi="Arial" w:cs="Arial"/>
                <w:sz w:val="20"/>
                <w:szCs w:val="20"/>
              </w:rPr>
            </w:pPr>
            <w:r w:rsidRPr="00772C79">
              <w:rPr>
                <w:rFonts w:ascii="Arial" w:hAnsi="Arial" w:cs="Arial"/>
                <w:sz w:val="20"/>
                <w:szCs w:val="20"/>
              </w:rPr>
              <w:t>Determining priorities and alternatives</w:t>
            </w:r>
          </w:p>
          <w:p w14:paraId="6807C56B" w14:textId="77777777" w:rsidR="001F7A46" w:rsidRPr="00772C79" w:rsidRDefault="001F7A46" w:rsidP="001F7A46">
            <w:pPr>
              <w:pStyle w:val="ListParagraph"/>
              <w:numPr>
                <w:ilvl w:val="0"/>
                <w:numId w:val="28"/>
              </w:numPr>
              <w:rPr>
                <w:rFonts w:ascii="Arial" w:hAnsi="Arial" w:cs="Arial"/>
                <w:sz w:val="20"/>
                <w:szCs w:val="20"/>
              </w:rPr>
            </w:pPr>
            <w:r w:rsidRPr="00772C79">
              <w:rPr>
                <w:rFonts w:ascii="Arial" w:hAnsi="Arial" w:cs="Arial"/>
                <w:sz w:val="20"/>
                <w:szCs w:val="20"/>
              </w:rPr>
              <w:t>Understanding your bottom line beyond which you cannot go.</w:t>
            </w:r>
          </w:p>
          <w:p w14:paraId="6807C56C" w14:textId="77777777" w:rsidR="001F7A46" w:rsidRPr="00772C79" w:rsidRDefault="001F7A46" w:rsidP="001F7A46">
            <w:pPr>
              <w:pStyle w:val="ListParagraph"/>
              <w:numPr>
                <w:ilvl w:val="0"/>
                <w:numId w:val="28"/>
              </w:numPr>
              <w:rPr>
                <w:rFonts w:ascii="Arial" w:hAnsi="Arial" w:cs="Arial"/>
                <w:sz w:val="20"/>
                <w:szCs w:val="20"/>
              </w:rPr>
            </w:pPr>
            <w:r w:rsidRPr="00772C79">
              <w:rPr>
                <w:rFonts w:ascii="Arial" w:hAnsi="Arial" w:cs="Arial"/>
                <w:sz w:val="20"/>
                <w:szCs w:val="20"/>
              </w:rPr>
              <w:t>Appreciating the vendor’s position in all of the above</w:t>
            </w:r>
          </w:p>
          <w:p w14:paraId="6807C56D" w14:textId="77777777" w:rsidR="001F7A46" w:rsidRPr="00772C79" w:rsidRDefault="001F7A46" w:rsidP="001F7A46">
            <w:pPr>
              <w:pStyle w:val="ListParagraph"/>
              <w:numPr>
                <w:ilvl w:val="0"/>
                <w:numId w:val="28"/>
              </w:numPr>
              <w:rPr>
                <w:rFonts w:ascii="Arial" w:hAnsi="Arial" w:cs="Arial"/>
                <w:sz w:val="20"/>
                <w:szCs w:val="20"/>
              </w:rPr>
            </w:pPr>
            <w:r w:rsidRPr="00772C79">
              <w:rPr>
                <w:rFonts w:ascii="Arial" w:hAnsi="Arial" w:cs="Arial"/>
                <w:sz w:val="20"/>
                <w:szCs w:val="20"/>
              </w:rPr>
              <w:t>Achieving a win- win situation</w:t>
            </w:r>
          </w:p>
          <w:p w14:paraId="6807C56E" w14:textId="77777777" w:rsidR="00A40045" w:rsidRPr="00772C79" w:rsidRDefault="00A40045" w:rsidP="00193362">
            <w:pPr>
              <w:rPr>
                <w:rFonts w:ascii="Arial" w:hAnsi="Arial" w:cs="Arial"/>
                <w:sz w:val="20"/>
                <w:szCs w:val="20"/>
              </w:rPr>
            </w:pPr>
          </w:p>
        </w:tc>
      </w:tr>
      <w:tr w:rsidR="003B6C45" w:rsidRPr="00D93199" w14:paraId="6807C573" w14:textId="77777777" w:rsidTr="00772C79">
        <w:trPr>
          <w:trHeight w:val="539"/>
        </w:trPr>
        <w:tc>
          <w:tcPr>
            <w:tcW w:w="2245" w:type="dxa"/>
            <w:vMerge/>
          </w:tcPr>
          <w:p w14:paraId="6807C570"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71" w14:textId="77777777" w:rsidR="003B6C45" w:rsidRPr="00772C79" w:rsidRDefault="003B6C45" w:rsidP="00BF13FF">
            <w:pPr>
              <w:spacing w:before="72" w:line="292" w:lineRule="exact"/>
              <w:rPr>
                <w:rFonts w:ascii="Arial" w:hAnsi="Arial" w:cs="Arial"/>
                <w:color w:val="000000"/>
                <w:sz w:val="20"/>
                <w:szCs w:val="20"/>
              </w:rPr>
            </w:pPr>
          </w:p>
        </w:tc>
        <w:tc>
          <w:tcPr>
            <w:tcW w:w="7375" w:type="dxa"/>
          </w:tcPr>
          <w:p w14:paraId="6807C572" w14:textId="77777777" w:rsidR="003B6C45" w:rsidRPr="00772C79" w:rsidRDefault="003B6C45" w:rsidP="00264CFD">
            <w:pPr>
              <w:pStyle w:val="Subtitle"/>
              <w:rPr>
                <w:rFonts w:ascii="Arial" w:hAnsi="Arial" w:cs="Arial"/>
                <w:i/>
                <w:sz w:val="20"/>
                <w:szCs w:val="20"/>
              </w:rPr>
            </w:pPr>
            <w:r w:rsidRPr="00772C79">
              <w:rPr>
                <w:rFonts w:ascii="Arial" w:hAnsi="Arial" w:cs="Arial"/>
                <w:i/>
                <w:color w:val="auto"/>
                <w:sz w:val="20"/>
                <w:szCs w:val="20"/>
              </w:rPr>
              <w:t xml:space="preserve">In this criterion the learner is required to </w:t>
            </w:r>
            <w:r w:rsidR="00A40045" w:rsidRPr="00772C79">
              <w:rPr>
                <w:rStyle w:val="SubtitleChar"/>
                <w:rFonts w:ascii="Arial" w:hAnsi="Arial" w:cs="Arial"/>
                <w:i/>
                <w:color w:val="auto"/>
                <w:sz w:val="20"/>
                <w:szCs w:val="20"/>
              </w:rPr>
              <w:t xml:space="preserve">devise </w:t>
            </w:r>
            <w:r w:rsidR="001F7A46" w:rsidRPr="00772C79">
              <w:rPr>
                <w:rStyle w:val="SubtitleChar"/>
                <w:rFonts w:ascii="Arial" w:hAnsi="Arial" w:cs="Arial"/>
                <w:i/>
                <w:color w:val="auto"/>
                <w:sz w:val="20"/>
                <w:szCs w:val="20"/>
              </w:rPr>
              <w:t xml:space="preserve">and explain </w:t>
            </w:r>
            <w:r w:rsidR="00264CFD" w:rsidRPr="00772C79">
              <w:rPr>
                <w:rStyle w:val="SubtitleChar"/>
                <w:rFonts w:ascii="Arial" w:hAnsi="Arial" w:cs="Arial"/>
                <w:i/>
                <w:color w:val="auto"/>
                <w:sz w:val="20"/>
                <w:szCs w:val="20"/>
              </w:rPr>
              <w:t xml:space="preserve">a </w:t>
            </w:r>
            <w:r w:rsidR="00A40045" w:rsidRPr="00772C79">
              <w:rPr>
                <w:rStyle w:val="SubtitleChar"/>
                <w:rFonts w:ascii="Arial" w:hAnsi="Arial" w:cs="Arial"/>
                <w:i/>
                <w:color w:val="auto"/>
                <w:sz w:val="20"/>
                <w:szCs w:val="20"/>
              </w:rPr>
              <w:t>negotiating strategy that is appropria</w:t>
            </w:r>
            <w:r w:rsidR="00264CFD" w:rsidRPr="00772C79">
              <w:rPr>
                <w:rStyle w:val="SubtitleChar"/>
                <w:rFonts w:ascii="Arial" w:hAnsi="Arial" w:cs="Arial"/>
                <w:i/>
                <w:color w:val="auto"/>
                <w:sz w:val="20"/>
                <w:szCs w:val="20"/>
              </w:rPr>
              <w:t>te to the contract and supplier</w:t>
            </w:r>
          </w:p>
        </w:tc>
      </w:tr>
      <w:tr w:rsidR="003B6C45" w:rsidRPr="00D93199" w14:paraId="6807C579" w14:textId="77777777" w:rsidTr="00E8375E">
        <w:trPr>
          <w:trHeight w:val="703"/>
        </w:trPr>
        <w:tc>
          <w:tcPr>
            <w:tcW w:w="2245" w:type="dxa"/>
            <w:vMerge/>
          </w:tcPr>
          <w:p w14:paraId="6807C574" w14:textId="77777777" w:rsidR="003B6C45" w:rsidRPr="008F51CA" w:rsidRDefault="003B6C45" w:rsidP="008A5C11">
            <w:pPr>
              <w:rPr>
                <w:rFonts w:ascii="Arial" w:hAnsi="Arial" w:cs="Arial"/>
              </w:rPr>
            </w:pPr>
          </w:p>
        </w:tc>
        <w:tc>
          <w:tcPr>
            <w:tcW w:w="3330" w:type="dxa"/>
            <w:vMerge w:val="restart"/>
            <w:tcBorders>
              <w:top w:val="single" w:sz="4" w:space="0" w:color="auto"/>
            </w:tcBorders>
          </w:tcPr>
          <w:p w14:paraId="6807C575" w14:textId="77777777" w:rsidR="00E418D1" w:rsidRPr="00E8375E" w:rsidRDefault="003B6C45" w:rsidP="00E418D1">
            <w:pPr>
              <w:pStyle w:val="Default"/>
              <w:rPr>
                <w:rFonts w:ascii="Arial" w:hAnsi="Arial" w:cs="Arial"/>
                <w:color w:val="auto"/>
                <w:sz w:val="20"/>
                <w:szCs w:val="20"/>
              </w:rPr>
            </w:pPr>
            <w:r w:rsidRPr="00E8375E">
              <w:rPr>
                <w:rFonts w:ascii="Arial" w:hAnsi="Arial" w:cs="Arial"/>
                <w:color w:val="auto"/>
                <w:spacing w:val="-1"/>
                <w:sz w:val="20"/>
                <w:szCs w:val="20"/>
              </w:rPr>
              <w:t xml:space="preserve">3.3 </w:t>
            </w:r>
            <w:r w:rsidR="00E418D1" w:rsidRPr="00E8375E">
              <w:rPr>
                <w:rFonts w:ascii="Arial" w:hAnsi="Arial" w:cs="Arial"/>
                <w:color w:val="auto"/>
                <w:sz w:val="20"/>
                <w:szCs w:val="20"/>
              </w:rPr>
              <w:t xml:space="preserve">Award contracts that best meet business needs, are realistic and meet the specification </w:t>
            </w:r>
          </w:p>
          <w:p w14:paraId="6807C576" w14:textId="77777777" w:rsidR="003B6C45" w:rsidRPr="00E8375E" w:rsidRDefault="003B6C45" w:rsidP="00E418D1">
            <w:pPr>
              <w:pStyle w:val="Default"/>
              <w:rPr>
                <w:rFonts w:ascii="Arial" w:hAnsi="Arial" w:cs="Arial"/>
                <w:color w:val="auto"/>
                <w:sz w:val="20"/>
                <w:szCs w:val="20"/>
              </w:rPr>
            </w:pPr>
          </w:p>
        </w:tc>
        <w:tc>
          <w:tcPr>
            <w:tcW w:w="7375" w:type="dxa"/>
          </w:tcPr>
          <w:p w14:paraId="6807C577" w14:textId="77777777" w:rsidR="003B6C45" w:rsidRPr="00E8375E" w:rsidRDefault="000D1045" w:rsidP="000D1045">
            <w:pPr>
              <w:rPr>
                <w:rFonts w:ascii="Arial" w:hAnsi="Arial" w:cs="Arial"/>
                <w:sz w:val="20"/>
                <w:szCs w:val="20"/>
              </w:rPr>
            </w:pPr>
            <w:r w:rsidRPr="00E8375E">
              <w:rPr>
                <w:rFonts w:ascii="Arial" w:hAnsi="Arial" w:cs="Arial"/>
                <w:sz w:val="20"/>
                <w:szCs w:val="20"/>
              </w:rPr>
              <w:t>As a result of the process described above contracts should be awarded that best meet the business needs, are realistic</w:t>
            </w:r>
            <w:r w:rsidR="00E8375E">
              <w:rPr>
                <w:rFonts w:ascii="Arial" w:hAnsi="Arial" w:cs="Arial"/>
                <w:sz w:val="20"/>
                <w:szCs w:val="20"/>
              </w:rPr>
              <w:t>,</w:t>
            </w:r>
            <w:r w:rsidRPr="00E8375E">
              <w:rPr>
                <w:rFonts w:ascii="Arial" w:hAnsi="Arial" w:cs="Arial"/>
                <w:sz w:val="20"/>
                <w:szCs w:val="20"/>
              </w:rPr>
              <w:t xml:space="preserve"> and meet the specification</w:t>
            </w:r>
            <w:r w:rsidR="00264CFD" w:rsidRPr="00E8375E">
              <w:rPr>
                <w:rFonts w:ascii="Arial" w:hAnsi="Arial" w:cs="Arial"/>
                <w:sz w:val="20"/>
                <w:szCs w:val="20"/>
              </w:rPr>
              <w:t>.</w:t>
            </w:r>
          </w:p>
          <w:p w14:paraId="6807C578" w14:textId="77777777" w:rsidR="00264CFD" w:rsidRPr="00E8375E" w:rsidRDefault="00264CFD" w:rsidP="000D1045">
            <w:pPr>
              <w:rPr>
                <w:rFonts w:ascii="Arial" w:hAnsi="Arial" w:cs="Arial"/>
                <w:sz w:val="20"/>
                <w:szCs w:val="20"/>
              </w:rPr>
            </w:pPr>
          </w:p>
        </w:tc>
      </w:tr>
      <w:tr w:rsidR="003B6C45" w:rsidRPr="00D93199" w14:paraId="6807C57D" w14:textId="77777777" w:rsidTr="00F17F6F">
        <w:trPr>
          <w:trHeight w:val="810"/>
        </w:trPr>
        <w:tc>
          <w:tcPr>
            <w:tcW w:w="2245" w:type="dxa"/>
            <w:vMerge/>
          </w:tcPr>
          <w:p w14:paraId="6807C57A"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7B" w14:textId="77777777" w:rsidR="003B6C45" w:rsidRPr="00E8375E" w:rsidRDefault="003B6C45" w:rsidP="00BF13FF">
            <w:pPr>
              <w:spacing w:line="300" w:lineRule="exact"/>
              <w:ind w:right="288"/>
              <w:rPr>
                <w:rFonts w:ascii="Arial" w:hAnsi="Arial" w:cs="Arial"/>
                <w:spacing w:val="-1"/>
                <w:sz w:val="20"/>
                <w:szCs w:val="20"/>
              </w:rPr>
            </w:pPr>
          </w:p>
        </w:tc>
        <w:tc>
          <w:tcPr>
            <w:tcW w:w="7375" w:type="dxa"/>
          </w:tcPr>
          <w:p w14:paraId="6807C57C" w14:textId="77777777" w:rsidR="00264CFD" w:rsidRPr="00E8375E" w:rsidRDefault="003B6C45" w:rsidP="00E8375E">
            <w:pPr>
              <w:pStyle w:val="Subtitle"/>
              <w:rPr>
                <w:rFonts w:ascii="Arial" w:hAnsi="Arial" w:cs="Arial"/>
                <w:i/>
                <w:color w:val="auto"/>
                <w:sz w:val="20"/>
                <w:szCs w:val="20"/>
              </w:rPr>
            </w:pPr>
            <w:r w:rsidRPr="00E8375E">
              <w:rPr>
                <w:rFonts w:ascii="Arial" w:hAnsi="Arial" w:cs="Arial"/>
                <w:i/>
                <w:color w:val="auto"/>
                <w:sz w:val="20"/>
                <w:szCs w:val="20"/>
              </w:rPr>
              <w:t>In this crite</w:t>
            </w:r>
            <w:r w:rsidR="000D1045" w:rsidRPr="00E8375E">
              <w:rPr>
                <w:rFonts w:ascii="Arial" w:hAnsi="Arial" w:cs="Arial"/>
                <w:i/>
                <w:color w:val="auto"/>
                <w:sz w:val="20"/>
                <w:szCs w:val="20"/>
              </w:rPr>
              <w:t>rion the learner i</w:t>
            </w:r>
            <w:r w:rsidR="00264CFD" w:rsidRPr="00E8375E">
              <w:rPr>
                <w:rFonts w:ascii="Arial" w:hAnsi="Arial" w:cs="Arial"/>
                <w:i/>
                <w:color w:val="auto"/>
                <w:sz w:val="20"/>
                <w:szCs w:val="20"/>
              </w:rPr>
              <w:t xml:space="preserve">s required demonstrate how he or she has </w:t>
            </w:r>
            <w:r w:rsidR="000D1045" w:rsidRPr="00E8375E">
              <w:rPr>
                <w:rFonts w:ascii="Arial" w:hAnsi="Arial" w:cs="Arial"/>
                <w:i/>
                <w:color w:val="auto"/>
                <w:sz w:val="20"/>
                <w:szCs w:val="20"/>
              </w:rPr>
              <w:t>award</w:t>
            </w:r>
            <w:r w:rsidR="00264CFD" w:rsidRPr="00E8375E">
              <w:rPr>
                <w:rFonts w:ascii="Arial" w:hAnsi="Arial" w:cs="Arial"/>
                <w:i/>
                <w:color w:val="auto"/>
                <w:sz w:val="20"/>
                <w:szCs w:val="20"/>
              </w:rPr>
              <w:t>ed</w:t>
            </w:r>
            <w:r w:rsidR="000D1045" w:rsidRPr="00E8375E">
              <w:rPr>
                <w:rFonts w:ascii="Arial" w:hAnsi="Arial" w:cs="Arial"/>
                <w:i/>
                <w:color w:val="auto"/>
                <w:sz w:val="20"/>
                <w:szCs w:val="20"/>
              </w:rPr>
              <w:t xml:space="preserve"> contracts that best meet business needs, are realistic and meet the specification. A supporting explanation should be provided</w:t>
            </w:r>
            <w:r w:rsidR="00264CFD" w:rsidRPr="00E8375E">
              <w:rPr>
                <w:rFonts w:ascii="Arial" w:hAnsi="Arial" w:cs="Arial"/>
                <w:i/>
                <w:color w:val="auto"/>
                <w:sz w:val="20"/>
                <w:szCs w:val="20"/>
              </w:rPr>
              <w:t>.</w:t>
            </w:r>
          </w:p>
        </w:tc>
      </w:tr>
      <w:tr w:rsidR="003B6C45" w:rsidRPr="00D93199" w14:paraId="6807C584" w14:textId="77777777" w:rsidTr="009C2CB3">
        <w:trPr>
          <w:trHeight w:val="712"/>
        </w:trPr>
        <w:tc>
          <w:tcPr>
            <w:tcW w:w="2245" w:type="dxa"/>
            <w:vMerge/>
          </w:tcPr>
          <w:p w14:paraId="6807C57E" w14:textId="77777777" w:rsidR="003B6C45" w:rsidRPr="008F51CA" w:rsidRDefault="003B6C45" w:rsidP="008A5C11">
            <w:pPr>
              <w:rPr>
                <w:rFonts w:ascii="Arial" w:hAnsi="Arial" w:cs="Arial"/>
              </w:rPr>
            </w:pPr>
          </w:p>
        </w:tc>
        <w:tc>
          <w:tcPr>
            <w:tcW w:w="3330" w:type="dxa"/>
            <w:vMerge w:val="restart"/>
            <w:tcBorders>
              <w:top w:val="single" w:sz="4" w:space="0" w:color="auto"/>
            </w:tcBorders>
          </w:tcPr>
          <w:p w14:paraId="6807C57F" w14:textId="77777777" w:rsidR="00E418D1" w:rsidRPr="00E8375E" w:rsidRDefault="003B6C45" w:rsidP="00E418D1">
            <w:pPr>
              <w:pStyle w:val="Default"/>
              <w:rPr>
                <w:rFonts w:ascii="Arial" w:hAnsi="Arial" w:cs="Arial"/>
                <w:color w:val="auto"/>
                <w:sz w:val="20"/>
                <w:szCs w:val="20"/>
              </w:rPr>
            </w:pPr>
            <w:r w:rsidRPr="00E8375E">
              <w:rPr>
                <w:rFonts w:ascii="Arial" w:hAnsi="Arial" w:cs="Arial"/>
                <w:color w:val="auto"/>
                <w:spacing w:val="-4"/>
                <w:sz w:val="20"/>
                <w:szCs w:val="20"/>
              </w:rPr>
              <w:t xml:space="preserve">3.4 </w:t>
            </w:r>
            <w:r w:rsidR="00E418D1" w:rsidRPr="00E8375E">
              <w:rPr>
                <w:rFonts w:ascii="Arial" w:hAnsi="Arial" w:cs="Arial"/>
                <w:color w:val="auto"/>
                <w:sz w:val="20"/>
                <w:szCs w:val="20"/>
              </w:rPr>
              <w:t xml:space="preserve">Complete the tendering exercise in accordance with organisational standards </w:t>
            </w:r>
          </w:p>
          <w:p w14:paraId="6807C580" w14:textId="77777777" w:rsidR="00124EA5" w:rsidRPr="00E8375E" w:rsidRDefault="00124EA5" w:rsidP="00AE2310">
            <w:pPr>
              <w:spacing w:before="72" w:line="289" w:lineRule="exact"/>
              <w:ind w:right="432"/>
              <w:rPr>
                <w:rFonts w:ascii="Arial" w:hAnsi="Arial" w:cs="Arial"/>
                <w:spacing w:val="-1"/>
                <w:sz w:val="20"/>
                <w:szCs w:val="20"/>
              </w:rPr>
            </w:pPr>
          </w:p>
          <w:p w14:paraId="6807C581" w14:textId="77777777" w:rsidR="00124EA5" w:rsidRPr="00E8375E" w:rsidRDefault="00124EA5" w:rsidP="00124EA5">
            <w:pPr>
              <w:pStyle w:val="Default"/>
              <w:rPr>
                <w:rFonts w:ascii="Arial" w:hAnsi="Arial" w:cs="Arial"/>
                <w:color w:val="auto"/>
                <w:sz w:val="20"/>
                <w:szCs w:val="20"/>
              </w:rPr>
            </w:pPr>
          </w:p>
          <w:p w14:paraId="6807C582" w14:textId="77777777" w:rsidR="003B6C45" w:rsidRPr="00E8375E" w:rsidRDefault="003B6C45" w:rsidP="00E418D1">
            <w:pPr>
              <w:pStyle w:val="Default"/>
              <w:rPr>
                <w:rFonts w:ascii="Arial" w:hAnsi="Arial" w:cs="Arial"/>
                <w:color w:val="auto"/>
                <w:spacing w:val="-1"/>
                <w:sz w:val="20"/>
                <w:szCs w:val="20"/>
              </w:rPr>
            </w:pPr>
          </w:p>
        </w:tc>
        <w:tc>
          <w:tcPr>
            <w:tcW w:w="7375" w:type="dxa"/>
          </w:tcPr>
          <w:p w14:paraId="6807C583" w14:textId="77777777" w:rsidR="003B6C45" w:rsidRPr="00E8375E" w:rsidRDefault="000D1045" w:rsidP="000D1045">
            <w:pPr>
              <w:rPr>
                <w:rFonts w:ascii="Arial" w:hAnsi="Arial" w:cs="Arial"/>
                <w:sz w:val="20"/>
                <w:szCs w:val="20"/>
              </w:rPr>
            </w:pPr>
            <w:r w:rsidRPr="00E8375E">
              <w:rPr>
                <w:rFonts w:ascii="Arial" w:hAnsi="Arial" w:cs="Arial"/>
                <w:sz w:val="20"/>
                <w:szCs w:val="20"/>
              </w:rPr>
              <w:t xml:space="preserve">The tendering exercise should be completed in accordance with </w:t>
            </w:r>
            <w:proofErr w:type="spellStart"/>
            <w:r w:rsidR="00A94519" w:rsidRPr="00E8375E">
              <w:rPr>
                <w:rFonts w:ascii="Arial" w:hAnsi="Arial" w:cs="Arial"/>
                <w:sz w:val="20"/>
                <w:szCs w:val="20"/>
              </w:rPr>
              <w:t>organis</w:t>
            </w:r>
            <w:r w:rsidRPr="00E8375E">
              <w:rPr>
                <w:rFonts w:ascii="Arial" w:hAnsi="Arial" w:cs="Arial"/>
                <w:sz w:val="20"/>
                <w:szCs w:val="20"/>
              </w:rPr>
              <w:t>ational</w:t>
            </w:r>
            <w:proofErr w:type="spellEnd"/>
            <w:r w:rsidRPr="00E8375E">
              <w:rPr>
                <w:rFonts w:ascii="Arial" w:hAnsi="Arial" w:cs="Arial"/>
                <w:sz w:val="20"/>
                <w:szCs w:val="20"/>
              </w:rPr>
              <w:t xml:space="preserve"> standards</w:t>
            </w:r>
            <w:r w:rsidR="00A94519" w:rsidRPr="00E8375E">
              <w:rPr>
                <w:rFonts w:ascii="Arial" w:hAnsi="Arial" w:cs="Arial"/>
                <w:sz w:val="20"/>
                <w:szCs w:val="20"/>
              </w:rPr>
              <w:t xml:space="preserve"> as set out in the </w:t>
            </w:r>
            <w:proofErr w:type="spellStart"/>
            <w:r w:rsidR="00A94519" w:rsidRPr="00E8375E">
              <w:rPr>
                <w:rFonts w:ascii="Arial" w:hAnsi="Arial" w:cs="Arial"/>
                <w:sz w:val="20"/>
                <w:szCs w:val="20"/>
              </w:rPr>
              <w:t>organisation’s</w:t>
            </w:r>
            <w:proofErr w:type="spellEnd"/>
            <w:r w:rsidR="00A94519" w:rsidRPr="00E8375E">
              <w:rPr>
                <w:rFonts w:ascii="Arial" w:hAnsi="Arial" w:cs="Arial"/>
                <w:sz w:val="20"/>
                <w:szCs w:val="20"/>
              </w:rPr>
              <w:t xml:space="preserve"> procurement policy</w:t>
            </w:r>
            <w:r w:rsidR="00264CFD" w:rsidRPr="00E8375E">
              <w:rPr>
                <w:rFonts w:ascii="Arial" w:hAnsi="Arial" w:cs="Arial"/>
                <w:sz w:val="20"/>
                <w:szCs w:val="20"/>
              </w:rPr>
              <w:t>.</w:t>
            </w:r>
          </w:p>
        </w:tc>
      </w:tr>
      <w:tr w:rsidR="003B6C45" w:rsidRPr="00D93199" w14:paraId="6807C588" w14:textId="77777777" w:rsidTr="009C2CB3">
        <w:trPr>
          <w:trHeight w:val="711"/>
        </w:trPr>
        <w:tc>
          <w:tcPr>
            <w:tcW w:w="2245" w:type="dxa"/>
            <w:vMerge/>
          </w:tcPr>
          <w:p w14:paraId="6807C585"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86" w14:textId="77777777" w:rsidR="003B6C45" w:rsidRPr="00E8375E" w:rsidRDefault="003B6C45" w:rsidP="004E253C">
            <w:pPr>
              <w:spacing w:before="72" w:line="289" w:lineRule="exact"/>
              <w:ind w:right="432"/>
              <w:rPr>
                <w:rFonts w:ascii="Arial" w:hAnsi="Arial" w:cs="Arial"/>
                <w:spacing w:val="-4"/>
                <w:sz w:val="20"/>
                <w:szCs w:val="20"/>
              </w:rPr>
            </w:pPr>
          </w:p>
        </w:tc>
        <w:tc>
          <w:tcPr>
            <w:tcW w:w="7375" w:type="dxa"/>
          </w:tcPr>
          <w:p w14:paraId="6807C587" w14:textId="77777777" w:rsidR="003B6C45" w:rsidRPr="00E8375E" w:rsidRDefault="003B6C45" w:rsidP="00A94519">
            <w:pPr>
              <w:pStyle w:val="Subtitle"/>
              <w:rPr>
                <w:rFonts w:ascii="Arial" w:hAnsi="Arial" w:cs="Arial"/>
                <w:i/>
                <w:color w:val="auto"/>
                <w:sz w:val="20"/>
                <w:szCs w:val="20"/>
              </w:rPr>
            </w:pPr>
            <w:r w:rsidRPr="00E8375E">
              <w:rPr>
                <w:rFonts w:ascii="Arial" w:hAnsi="Arial" w:cs="Arial"/>
                <w:i/>
                <w:color w:val="auto"/>
                <w:sz w:val="20"/>
                <w:szCs w:val="20"/>
              </w:rPr>
              <w:t>In this criterion the learner</w:t>
            </w:r>
            <w:r w:rsidR="00264CFD" w:rsidRPr="00E8375E">
              <w:rPr>
                <w:rFonts w:ascii="Arial" w:hAnsi="Arial" w:cs="Arial"/>
                <w:i/>
                <w:color w:val="auto"/>
                <w:sz w:val="20"/>
                <w:szCs w:val="20"/>
              </w:rPr>
              <w:t xml:space="preserve"> should demonstrate how he or she has c</w:t>
            </w:r>
            <w:r w:rsidR="000D1045" w:rsidRPr="00E8375E">
              <w:rPr>
                <w:rFonts w:ascii="Arial" w:hAnsi="Arial" w:cs="Arial"/>
                <w:i/>
                <w:color w:val="auto"/>
                <w:sz w:val="20"/>
                <w:szCs w:val="20"/>
              </w:rPr>
              <w:t>omplete the tendering exercise</w:t>
            </w:r>
            <w:r w:rsidR="00A94519" w:rsidRPr="00E8375E">
              <w:rPr>
                <w:rFonts w:ascii="Arial" w:hAnsi="Arial" w:cs="Arial"/>
                <w:i/>
                <w:color w:val="auto"/>
                <w:sz w:val="20"/>
                <w:szCs w:val="20"/>
              </w:rPr>
              <w:t xml:space="preserve"> and explain how and why this was</w:t>
            </w:r>
            <w:r w:rsidR="000D1045" w:rsidRPr="00E8375E">
              <w:rPr>
                <w:rFonts w:ascii="Arial" w:hAnsi="Arial" w:cs="Arial"/>
                <w:i/>
                <w:color w:val="auto"/>
                <w:sz w:val="20"/>
                <w:szCs w:val="20"/>
              </w:rPr>
              <w:t xml:space="preserve"> in accordance with </w:t>
            </w:r>
            <w:proofErr w:type="spellStart"/>
            <w:r w:rsidR="000D1045" w:rsidRPr="00E8375E">
              <w:rPr>
                <w:rFonts w:ascii="Arial" w:hAnsi="Arial" w:cs="Arial"/>
                <w:i/>
                <w:color w:val="auto"/>
                <w:sz w:val="20"/>
                <w:szCs w:val="20"/>
              </w:rPr>
              <w:t>organisational</w:t>
            </w:r>
            <w:proofErr w:type="spellEnd"/>
            <w:r w:rsidR="000D1045" w:rsidRPr="00E8375E">
              <w:rPr>
                <w:rFonts w:ascii="Arial" w:hAnsi="Arial" w:cs="Arial"/>
                <w:i/>
                <w:color w:val="auto"/>
                <w:sz w:val="20"/>
                <w:szCs w:val="20"/>
              </w:rPr>
              <w:t xml:space="preserve"> standards</w:t>
            </w:r>
          </w:p>
        </w:tc>
      </w:tr>
      <w:tr w:rsidR="003B6C45" w:rsidRPr="00D93199" w14:paraId="6807C590" w14:textId="77777777" w:rsidTr="004A1EB7">
        <w:trPr>
          <w:trHeight w:val="620"/>
        </w:trPr>
        <w:tc>
          <w:tcPr>
            <w:tcW w:w="2245" w:type="dxa"/>
            <w:vMerge/>
          </w:tcPr>
          <w:p w14:paraId="6807C589" w14:textId="77777777" w:rsidR="003B6C45" w:rsidRPr="008F51CA" w:rsidRDefault="003B6C45" w:rsidP="008A5C11">
            <w:pPr>
              <w:rPr>
                <w:rFonts w:ascii="Arial" w:hAnsi="Arial" w:cs="Arial"/>
              </w:rPr>
            </w:pPr>
          </w:p>
        </w:tc>
        <w:tc>
          <w:tcPr>
            <w:tcW w:w="3330" w:type="dxa"/>
            <w:vMerge w:val="restart"/>
            <w:tcBorders>
              <w:top w:val="single" w:sz="4" w:space="0" w:color="auto"/>
            </w:tcBorders>
          </w:tcPr>
          <w:p w14:paraId="6807C58A" w14:textId="77777777" w:rsidR="00E418D1" w:rsidRPr="003367B6" w:rsidRDefault="003B6C45" w:rsidP="00E418D1">
            <w:pPr>
              <w:pStyle w:val="Default"/>
              <w:rPr>
                <w:rFonts w:ascii="Arial" w:hAnsi="Arial" w:cs="Arial"/>
                <w:color w:val="auto"/>
                <w:sz w:val="20"/>
                <w:szCs w:val="20"/>
              </w:rPr>
            </w:pPr>
            <w:r w:rsidRPr="003367B6">
              <w:rPr>
                <w:rFonts w:ascii="Arial" w:hAnsi="Arial" w:cs="Arial"/>
                <w:color w:val="auto"/>
                <w:spacing w:val="-3"/>
                <w:sz w:val="20"/>
                <w:szCs w:val="20"/>
              </w:rPr>
              <w:t xml:space="preserve">3.5 </w:t>
            </w:r>
            <w:r w:rsidR="00E418D1" w:rsidRPr="003367B6">
              <w:rPr>
                <w:rFonts w:ascii="Arial" w:hAnsi="Arial" w:cs="Arial"/>
                <w:color w:val="auto"/>
                <w:sz w:val="20"/>
                <w:szCs w:val="20"/>
              </w:rPr>
              <w:t xml:space="preserve">Analyse the implications of procurement decisions for the organisation, suppliers and potential suppliers </w:t>
            </w:r>
          </w:p>
          <w:p w14:paraId="6807C58B" w14:textId="77777777" w:rsidR="00124EA5" w:rsidRPr="003367B6" w:rsidRDefault="00124EA5" w:rsidP="00AE2310">
            <w:pPr>
              <w:spacing w:before="72" w:line="289" w:lineRule="exact"/>
              <w:ind w:right="252"/>
              <w:rPr>
                <w:rFonts w:ascii="Arial" w:hAnsi="Arial" w:cs="Arial"/>
                <w:spacing w:val="-3"/>
                <w:sz w:val="20"/>
                <w:szCs w:val="20"/>
              </w:rPr>
            </w:pPr>
          </w:p>
          <w:p w14:paraId="6807C58C" w14:textId="77777777" w:rsidR="00124EA5" w:rsidRPr="003367B6" w:rsidRDefault="00124EA5" w:rsidP="00124EA5">
            <w:pPr>
              <w:pStyle w:val="Default"/>
              <w:rPr>
                <w:rFonts w:ascii="Arial" w:hAnsi="Arial" w:cs="Arial"/>
                <w:color w:val="auto"/>
                <w:sz w:val="20"/>
                <w:szCs w:val="20"/>
              </w:rPr>
            </w:pPr>
          </w:p>
          <w:p w14:paraId="6807C58D" w14:textId="77777777" w:rsidR="003B6C45" w:rsidRPr="003367B6" w:rsidRDefault="003B6C45" w:rsidP="00E418D1">
            <w:pPr>
              <w:pStyle w:val="Default"/>
              <w:rPr>
                <w:rFonts w:ascii="Arial" w:hAnsi="Arial" w:cs="Arial"/>
                <w:color w:val="auto"/>
                <w:spacing w:val="-3"/>
                <w:sz w:val="20"/>
                <w:szCs w:val="20"/>
              </w:rPr>
            </w:pPr>
          </w:p>
        </w:tc>
        <w:tc>
          <w:tcPr>
            <w:tcW w:w="7375" w:type="dxa"/>
          </w:tcPr>
          <w:p w14:paraId="6807C58E" w14:textId="77777777" w:rsidR="00A94519" w:rsidRPr="003367B6" w:rsidRDefault="00A94519" w:rsidP="00A94519">
            <w:pPr>
              <w:pStyle w:val="Default"/>
              <w:rPr>
                <w:rFonts w:ascii="Arial" w:hAnsi="Arial" w:cs="Arial"/>
                <w:color w:val="auto"/>
                <w:sz w:val="20"/>
                <w:szCs w:val="20"/>
              </w:rPr>
            </w:pPr>
            <w:r w:rsidRPr="003367B6">
              <w:rPr>
                <w:rFonts w:ascii="Arial" w:hAnsi="Arial" w:cs="Arial"/>
                <w:color w:val="auto"/>
                <w:sz w:val="20"/>
                <w:szCs w:val="20"/>
              </w:rPr>
              <w:t>The implications of procurement decisions</w:t>
            </w:r>
            <w:r w:rsidR="003B6C45" w:rsidRPr="003367B6">
              <w:rPr>
                <w:rFonts w:ascii="Arial" w:hAnsi="Arial" w:cs="Arial"/>
                <w:color w:val="auto"/>
                <w:sz w:val="20"/>
                <w:szCs w:val="20"/>
              </w:rPr>
              <w:t xml:space="preserve"> </w:t>
            </w:r>
            <w:r w:rsidRPr="003367B6">
              <w:rPr>
                <w:rFonts w:ascii="Arial" w:hAnsi="Arial" w:cs="Arial"/>
                <w:color w:val="auto"/>
                <w:sz w:val="20"/>
                <w:szCs w:val="20"/>
              </w:rPr>
              <w:t>for the organisation, suppliers and potential suppliers should be identified and described. An analysis requires that the relative impact of these implications for these stakeholders are judged for their significance and conclusions drawn</w:t>
            </w:r>
          </w:p>
          <w:p w14:paraId="6807C58F" w14:textId="77777777" w:rsidR="003B6C45" w:rsidRPr="003367B6" w:rsidRDefault="003B6C45" w:rsidP="00D65F9C">
            <w:pPr>
              <w:rPr>
                <w:rFonts w:ascii="Arial" w:hAnsi="Arial" w:cs="Arial"/>
                <w:sz w:val="20"/>
                <w:szCs w:val="20"/>
              </w:rPr>
            </w:pPr>
          </w:p>
        </w:tc>
      </w:tr>
      <w:tr w:rsidR="003B6C45" w:rsidRPr="00D93199" w14:paraId="6807C594" w14:textId="77777777" w:rsidTr="004A1EB7">
        <w:trPr>
          <w:trHeight w:val="620"/>
        </w:trPr>
        <w:tc>
          <w:tcPr>
            <w:tcW w:w="2245" w:type="dxa"/>
            <w:vMerge/>
          </w:tcPr>
          <w:p w14:paraId="6807C591"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92" w14:textId="77777777" w:rsidR="003B6C45" w:rsidRPr="003367B6" w:rsidRDefault="003B6C45" w:rsidP="00314581">
            <w:pPr>
              <w:spacing w:before="72" w:line="289" w:lineRule="exact"/>
              <w:ind w:right="252"/>
              <w:rPr>
                <w:rFonts w:ascii="Arial" w:hAnsi="Arial" w:cs="Arial"/>
                <w:spacing w:val="-3"/>
                <w:sz w:val="20"/>
                <w:szCs w:val="20"/>
              </w:rPr>
            </w:pPr>
          </w:p>
        </w:tc>
        <w:tc>
          <w:tcPr>
            <w:tcW w:w="7375" w:type="dxa"/>
          </w:tcPr>
          <w:p w14:paraId="6807C593" w14:textId="77777777" w:rsidR="003B6C45" w:rsidRPr="003367B6" w:rsidRDefault="003B6C45" w:rsidP="003367B6">
            <w:pPr>
              <w:pStyle w:val="Subtitle"/>
              <w:rPr>
                <w:rFonts w:ascii="Arial" w:hAnsi="Arial" w:cs="Arial"/>
                <w:i/>
                <w:color w:val="auto"/>
                <w:sz w:val="20"/>
                <w:szCs w:val="20"/>
              </w:rPr>
            </w:pPr>
            <w:r w:rsidRPr="003367B6">
              <w:rPr>
                <w:rFonts w:ascii="Arial" w:hAnsi="Arial" w:cs="Arial"/>
                <w:i/>
                <w:color w:val="auto"/>
                <w:sz w:val="20"/>
                <w:szCs w:val="20"/>
              </w:rPr>
              <w:t xml:space="preserve">In this criterion the learner is required to </w:t>
            </w:r>
            <w:proofErr w:type="spellStart"/>
            <w:r w:rsidRPr="003367B6">
              <w:rPr>
                <w:rFonts w:ascii="Arial" w:hAnsi="Arial" w:cs="Arial"/>
                <w:i/>
                <w:color w:val="auto"/>
                <w:sz w:val="20"/>
                <w:szCs w:val="20"/>
              </w:rPr>
              <w:t>analyse</w:t>
            </w:r>
            <w:proofErr w:type="spellEnd"/>
            <w:r w:rsidRPr="003367B6">
              <w:rPr>
                <w:rFonts w:ascii="Arial" w:hAnsi="Arial" w:cs="Arial"/>
                <w:i/>
                <w:color w:val="auto"/>
                <w:sz w:val="20"/>
                <w:szCs w:val="20"/>
              </w:rPr>
              <w:t xml:space="preserve"> </w:t>
            </w:r>
            <w:r w:rsidR="00A94519" w:rsidRPr="003367B6">
              <w:rPr>
                <w:rFonts w:ascii="Arial" w:hAnsi="Arial" w:cs="Arial"/>
                <w:i/>
                <w:color w:val="auto"/>
                <w:sz w:val="20"/>
                <w:szCs w:val="20"/>
              </w:rPr>
              <w:t xml:space="preserve">the implications of procurement decisions for the </w:t>
            </w:r>
            <w:proofErr w:type="spellStart"/>
            <w:r w:rsidR="00A94519" w:rsidRPr="003367B6">
              <w:rPr>
                <w:rFonts w:ascii="Arial" w:hAnsi="Arial" w:cs="Arial"/>
                <w:i/>
                <w:color w:val="auto"/>
                <w:sz w:val="20"/>
                <w:szCs w:val="20"/>
              </w:rPr>
              <w:t>organisation</w:t>
            </w:r>
            <w:proofErr w:type="spellEnd"/>
            <w:r w:rsidR="00A94519" w:rsidRPr="003367B6">
              <w:rPr>
                <w:rFonts w:ascii="Arial" w:hAnsi="Arial" w:cs="Arial"/>
                <w:i/>
                <w:color w:val="auto"/>
                <w:sz w:val="20"/>
                <w:szCs w:val="20"/>
              </w:rPr>
              <w:t xml:space="preserve">, suppliers and potential suppliers </w:t>
            </w:r>
          </w:p>
        </w:tc>
      </w:tr>
      <w:tr w:rsidR="003B6C45" w:rsidRPr="00D93199" w14:paraId="6807C5A0" w14:textId="77777777" w:rsidTr="00234C51">
        <w:trPr>
          <w:trHeight w:val="234"/>
        </w:trPr>
        <w:tc>
          <w:tcPr>
            <w:tcW w:w="2245" w:type="dxa"/>
            <w:vMerge/>
          </w:tcPr>
          <w:p w14:paraId="6807C595" w14:textId="77777777" w:rsidR="003B6C45" w:rsidRPr="008F51CA" w:rsidRDefault="003B6C45" w:rsidP="008A5C11">
            <w:pPr>
              <w:rPr>
                <w:rFonts w:ascii="Arial" w:hAnsi="Arial" w:cs="Arial"/>
              </w:rPr>
            </w:pPr>
          </w:p>
        </w:tc>
        <w:tc>
          <w:tcPr>
            <w:tcW w:w="3330" w:type="dxa"/>
            <w:vMerge w:val="restart"/>
            <w:tcBorders>
              <w:top w:val="single" w:sz="4" w:space="0" w:color="auto"/>
            </w:tcBorders>
          </w:tcPr>
          <w:p w14:paraId="6807C596" w14:textId="77777777" w:rsidR="00E418D1" w:rsidRPr="003367B6" w:rsidRDefault="003B6C45" w:rsidP="00E418D1">
            <w:pPr>
              <w:pStyle w:val="Default"/>
              <w:rPr>
                <w:rFonts w:ascii="Arial" w:hAnsi="Arial" w:cs="Arial"/>
                <w:color w:val="auto"/>
                <w:sz w:val="20"/>
                <w:szCs w:val="20"/>
              </w:rPr>
            </w:pPr>
            <w:r w:rsidRPr="003367B6">
              <w:rPr>
                <w:rFonts w:ascii="Arial" w:hAnsi="Arial" w:cs="Arial"/>
                <w:color w:val="auto"/>
                <w:spacing w:val="-4"/>
                <w:sz w:val="20"/>
                <w:szCs w:val="20"/>
              </w:rPr>
              <w:t xml:space="preserve">3.6 </w:t>
            </w:r>
            <w:r w:rsidR="00E418D1" w:rsidRPr="003367B6">
              <w:rPr>
                <w:rFonts w:ascii="Arial" w:hAnsi="Arial" w:cs="Arial"/>
                <w:color w:val="auto"/>
                <w:sz w:val="20"/>
                <w:szCs w:val="20"/>
              </w:rPr>
              <w:t xml:space="preserve">Communicate outcomes of the tendering exercise to stakeholders </w:t>
            </w:r>
          </w:p>
          <w:p w14:paraId="6807C597" w14:textId="77777777" w:rsidR="00124EA5" w:rsidRPr="003367B6" w:rsidRDefault="00124EA5" w:rsidP="00AE2310">
            <w:pPr>
              <w:rPr>
                <w:rFonts w:ascii="Arial" w:hAnsi="Arial" w:cs="Arial"/>
                <w:sz w:val="20"/>
                <w:szCs w:val="20"/>
              </w:rPr>
            </w:pPr>
          </w:p>
          <w:p w14:paraId="6807C598" w14:textId="77777777" w:rsidR="00124EA5" w:rsidRPr="003367B6" w:rsidRDefault="00124EA5" w:rsidP="00124EA5">
            <w:pPr>
              <w:pStyle w:val="Default"/>
              <w:rPr>
                <w:rFonts w:ascii="Arial" w:hAnsi="Arial" w:cs="Arial"/>
                <w:color w:val="auto"/>
                <w:sz w:val="20"/>
                <w:szCs w:val="20"/>
              </w:rPr>
            </w:pPr>
          </w:p>
          <w:p w14:paraId="6807C599" w14:textId="77777777" w:rsidR="003B6C45" w:rsidRPr="003367B6" w:rsidRDefault="003B6C45" w:rsidP="00E418D1">
            <w:pPr>
              <w:pStyle w:val="Default"/>
              <w:rPr>
                <w:rFonts w:ascii="Arial" w:hAnsi="Arial" w:cs="Arial"/>
                <w:color w:val="auto"/>
                <w:sz w:val="20"/>
                <w:szCs w:val="20"/>
              </w:rPr>
            </w:pPr>
          </w:p>
        </w:tc>
        <w:tc>
          <w:tcPr>
            <w:tcW w:w="7375" w:type="dxa"/>
          </w:tcPr>
          <w:p w14:paraId="6807C59A" w14:textId="77777777" w:rsidR="003B6C45" w:rsidRPr="003367B6" w:rsidRDefault="00094B6D" w:rsidP="00AE2310">
            <w:pPr>
              <w:rPr>
                <w:rFonts w:ascii="Arial" w:hAnsi="Arial" w:cs="Arial"/>
                <w:sz w:val="20"/>
                <w:szCs w:val="20"/>
              </w:rPr>
            </w:pPr>
            <w:r w:rsidRPr="003367B6">
              <w:rPr>
                <w:rFonts w:ascii="Arial" w:hAnsi="Arial" w:cs="Arial"/>
                <w:sz w:val="20"/>
                <w:szCs w:val="20"/>
              </w:rPr>
              <w:t>Completion of the tendering process requires that the outcomes are communicated to all the relevant stakeholders including :</w:t>
            </w:r>
          </w:p>
          <w:p w14:paraId="6807C59B" w14:textId="77777777" w:rsidR="00094B6D" w:rsidRPr="003367B6" w:rsidRDefault="00094B6D" w:rsidP="00094B6D">
            <w:pPr>
              <w:pStyle w:val="ListParagraph"/>
              <w:numPr>
                <w:ilvl w:val="0"/>
                <w:numId w:val="25"/>
              </w:numPr>
              <w:rPr>
                <w:rFonts w:ascii="Arial" w:hAnsi="Arial" w:cs="Arial"/>
                <w:sz w:val="20"/>
                <w:szCs w:val="20"/>
              </w:rPr>
            </w:pPr>
            <w:r w:rsidRPr="003367B6">
              <w:rPr>
                <w:rFonts w:ascii="Arial" w:hAnsi="Arial" w:cs="Arial"/>
                <w:sz w:val="20"/>
                <w:szCs w:val="20"/>
              </w:rPr>
              <w:t xml:space="preserve">The </w:t>
            </w:r>
            <w:proofErr w:type="spellStart"/>
            <w:r w:rsidRPr="003367B6">
              <w:rPr>
                <w:rFonts w:ascii="Arial" w:hAnsi="Arial" w:cs="Arial"/>
                <w:sz w:val="20"/>
                <w:szCs w:val="20"/>
              </w:rPr>
              <w:t>organisation</w:t>
            </w:r>
            <w:r w:rsidR="000D1045" w:rsidRPr="003367B6">
              <w:rPr>
                <w:rFonts w:ascii="Arial" w:hAnsi="Arial" w:cs="Arial"/>
                <w:sz w:val="20"/>
                <w:szCs w:val="20"/>
              </w:rPr>
              <w:t>’</w:t>
            </w:r>
            <w:r w:rsidRPr="003367B6">
              <w:rPr>
                <w:rFonts w:ascii="Arial" w:hAnsi="Arial" w:cs="Arial"/>
                <w:sz w:val="20"/>
                <w:szCs w:val="20"/>
              </w:rPr>
              <w:t>s</w:t>
            </w:r>
            <w:proofErr w:type="spellEnd"/>
            <w:r w:rsidRPr="003367B6">
              <w:rPr>
                <w:rFonts w:ascii="Arial" w:hAnsi="Arial" w:cs="Arial"/>
                <w:sz w:val="20"/>
                <w:szCs w:val="20"/>
              </w:rPr>
              <w:t xml:space="preserve"> management team</w:t>
            </w:r>
          </w:p>
          <w:p w14:paraId="6807C59C" w14:textId="77777777" w:rsidR="00094B6D" w:rsidRPr="003367B6" w:rsidRDefault="00094B6D" w:rsidP="00094B6D">
            <w:pPr>
              <w:pStyle w:val="ListParagraph"/>
              <w:numPr>
                <w:ilvl w:val="0"/>
                <w:numId w:val="25"/>
              </w:numPr>
              <w:rPr>
                <w:rFonts w:ascii="Arial" w:hAnsi="Arial" w:cs="Arial"/>
                <w:sz w:val="20"/>
                <w:szCs w:val="20"/>
              </w:rPr>
            </w:pPr>
            <w:r w:rsidRPr="003367B6">
              <w:rPr>
                <w:rFonts w:ascii="Arial" w:hAnsi="Arial" w:cs="Arial"/>
                <w:sz w:val="20"/>
                <w:szCs w:val="20"/>
              </w:rPr>
              <w:t>Involved clients</w:t>
            </w:r>
          </w:p>
          <w:p w14:paraId="6807C59D" w14:textId="77777777" w:rsidR="00094B6D" w:rsidRDefault="00094B6D" w:rsidP="00094B6D">
            <w:pPr>
              <w:pStyle w:val="ListParagraph"/>
              <w:numPr>
                <w:ilvl w:val="0"/>
                <w:numId w:val="25"/>
              </w:numPr>
              <w:rPr>
                <w:rFonts w:ascii="Arial" w:hAnsi="Arial" w:cs="Arial"/>
                <w:sz w:val="20"/>
                <w:szCs w:val="20"/>
              </w:rPr>
            </w:pPr>
            <w:r w:rsidRPr="003367B6">
              <w:rPr>
                <w:rFonts w:ascii="Arial" w:hAnsi="Arial" w:cs="Arial"/>
                <w:sz w:val="20"/>
                <w:szCs w:val="20"/>
              </w:rPr>
              <w:t>Suppliers who have tendered and been successful/unsuccessful.</w:t>
            </w:r>
          </w:p>
          <w:p w14:paraId="6807C59E" w14:textId="77777777" w:rsidR="003367B6" w:rsidRPr="003367B6" w:rsidRDefault="003367B6" w:rsidP="003367B6">
            <w:pPr>
              <w:pStyle w:val="ListParagraph"/>
              <w:rPr>
                <w:rFonts w:ascii="Arial" w:hAnsi="Arial" w:cs="Arial"/>
                <w:sz w:val="20"/>
                <w:szCs w:val="20"/>
              </w:rPr>
            </w:pPr>
          </w:p>
          <w:p w14:paraId="6807C59F" w14:textId="77777777" w:rsidR="00094B6D" w:rsidRPr="003367B6" w:rsidRDefault="00094B6D" w:rsidP="00094B6D">
            <w:pPr>
              <w:rPr>
                <w:rFonts w:ascii="Arial" w:hAnsi="Arial" w:cs="Arial"/>
                <w:sz w:val="20"/>
                <w:szCs w:val="20"/>
              </w:rPr>
            </w:pPr>
            <w:r w:rsidRPr="003367B6">
              <w:rPr>
                <w:rFonts w:ascii="Arial" w:hAnsi="Arial" w:cs="Arial"/>
                <w:sz w:val="20"/>
                <w:szCs w:val="20"/>
              </w:rPr>
              <w:t>The methods of communication the timing, content and methods used will depend of the s</w:t>
            </w:r>
            <w:r w:rsidR="003367B6">
              <w:rPr>
                <w:rFonts w:ascii="Arial" w:hAnsi="Arial" w:cs="Arial"/>
                <w:sz w:val="20"/>
                <w:szCs w:val="20"/>
              </w:rPr>
              <w:t>takeholder level of involvement</w:t>
            </w:r>
            <w:r w:rsidRPr="003367B6">
              <w:rPr>
                <w:rFonts w:ascii="Arial" w:hAnsi="Arial" w:cs="Arial"/>
                <w:sz w:val="20"/>
                <w:szCs w:val="20"/>
              </w:rPr>
              <w:t>, their needs</w:t>
            </w:r>
            <w:r w:rsidR="003367B6">
              <w:rPr>
                <w:rFonts w:ascii="Arial" w:hAnsi="Arial" w:cs="Arial"/>
                <w:sz w:val="20"/>
                <w:szCs w:val="20"/>
              </w:rPr>
              <w:t>,</w:t>
            </w:r>
            <w:r w:rsidRPr="003367B6">
              <w:rPr>
                <w:rFonts w:ascii="Arial" w:hAnsi="Arial" w:cs="Arial"/>
                <w:sz w:val="20"/>
                <w:szCs w:val="20"/>
              </w:rPr>
              <w:t xml:space="preserve"> and any policy or legal requirements.</w:t>
            </w:r>
          </w:p>
        </w:tc>
      </w:tr>
      <w:tr w:rsidR="003B6C45" w:rsidRPr="00D93199" w14:paraId="6807C5A5" w14:textId="77777777" w:rsidTr="00234C51">
        <w:trPr>
          <w:trHeight w:val="234"/>
        </w:trPr>
        <w:tc>
          <w:tcPr>
            <w:tcW w:w="2245" w:type="dxa"/>
            <w:vMerge/>
          </w:tcPr>
          <w:p w14:paraId="6807C5A1"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A2" w14:textId="77777777" w:rsidR="003B6C45" w:rsidRPr="008F51CA" w:rsidRDefault="003B6C45" w:rsidP="008A5C11">
            <w:pPr>
              <w:rPr>
                <w:rFonts w:ascii="Arial" w:hAnsi="Arial" w:cs="Arial"/>
                <w:color w:val="000000"/>
                <w:spacing w:val="-4"/>
              </w:rPr>
            </w:pPr>
          </w:p>
        </w:tc>
        <w:tc>
          <w:tcPr>
            <w:tcW w:w="7375" w:type="dxa"/>
          </w:tcPr>
          <w:p w14:paraId="6807C5A3" w14:textId="77777777" w:rsidR="00094B6D" w:rsidRPr="003367B6" w:rsidRDefault="003B6C45" w:rsidP="00094B6D">
            <w:pPr>
              <w:pStyle w:val="Subtitle"/>
              <w:rPr>
                <w:rFonts w:ascii="Arial" w:hAnsi="Arial" w:cs="Arial"/>
                <w:i/>
                <w:color w:val="auto"/>
                <w:sz w:val="20"/>
                <w:szCs w:val="20"/>
              </w:rPr>
            </w:pPr>
            <w:r w:rsidRPr="003367B6">
              <w:rPr>
                <w:rFonts w:ascii="Arial" w:hAnsi="Arial" w:cs="Arial"/>
                <w:i/>
                <w:color w:val="auto"/>
                <w:sz w:val="20"/>
                <w:szCs w:val="20"/>
              </w:rPr>
              <w:t xml:space="preserve">In this criterion the learner is required </w:t>
            </w:r>
            <w:r w:rsidR="00094B6D" w:rsidRPr="003367B6">
              <w:rPr>
                <w:rFonts w:ascii="Arial" w:hAnsi="Arial" w:cs="Arial"/>
                <w:i/>
                <w:color w:val="auto"/>
                <w:sz w:val="20"/>
                <w:szCs w:val="20"/>
              </w:rPr>
              <w:t>to show how they communicated outcomes of the tendering exercise to stakeholders.</w:t>
            </w:r>
          </w:p>
          <w:p w14:paraId="6807C5A4" w14:textId="77777777" w:rsidR="003B6C45" w:rsidRPr="003367B6" w:rsidRDefault="00094B6D" w:rsidP="003367B6">
            <w:pPr>
              <w:pStyle w:val="Subtitle"/>
              <w:rPr>
                <w:rFonts w:ascii="Arial" w:hAnsi="Arial" w:cs="Arial"/>
                <w:i/>
                <w:color w:val="auto"/>
                <w:sz w:val="20"/>
                <w:szCs w:val="20"/>
              </w:rPr>
            </w:pPr>
            <w:r w:rsidRPr="003367B6">
              <w:rPr>
                <w:rFonts w:ascii="Arial" w:hAnsi="Arial" w:cs="Arial"/>
                <w:i/>
                <w:color w:val="auto"/>
                <w:sz w:val="20"/>
                <w:szCs w:val="20"/>
              </w:rPr>
              <w:t xml:space="preserve">The different stakeholders should be identified and how they were communicated with shown with examples and supporting rationale </w:t>
            </w:r>
          </w:p>
        </w:tc>
      </w:tr>
      <w:tr w:rsidR="003B6C45" w:rsidRPr="00D93199" w14:paraId="6807C5AD" w14:textId="77777777" w:rsidTr="003E456B">
        <w:trPr>
          <w:trHeight w:val="391"/>
        </w:trPr>
        <w:tc>
          <w:tcPr>
            <w:tcW w:w="2245" w:type="dxa"/>
            <w:vMerge/>
          </w:tcPr>
          <w:p w14:paraId="6807C5A6" w14:textId="77777777" w:rsidR="003B6C45" w:rsidRPr="008F51CA" w:rsidRDefault="003B6C45" w:rsidP="008A5C11">
            <w:pPr>
              <w:rPr>
                <w:rFonts w:ascii="Arial" w:hAnsi="Arial" w:cs="Arial"/>
              </w:rPr>
            </w:pPr>
          </w:p>
        </w:tc>
        <w:tc>
          <w:tcPr>
            <w:tcW w:w="3330" w:type="dxa"/>
            <w:vMerge w:val="restart"/>
            <w:tcBorders>
              <w:top w:val="single" w:sz="4" w:space="0" w:color="auto"/>
            </w:tcBorders>
          </w:tcPr>
          <w:p w14:paraId="6807C5A7" w14:textId="77777777" w:rsidR="004B10BF" w:rsidRPr="00F86097" w:rsidRDefault="003B6C45" w:rsidP="004B10BF">
            <w:pPr>
              <w:pStyle w:val="Default"/>
              <w:rPr>
                <w:rFonts w:ascii="Arial" w:hAnsi="Arial" w:cs="Arial"/>
                <w:sz w:val="20"/>
                <w:szCs w:val="20"/>
              </w:rPr>
            </w:pPr>
            <w:r w:rsidRPr="00F86097">
              <w:rPr>
                <w:rFonts w:ascii="Arial" w:hAnsi="Arial" w:cs="Arial"/>
                <w:spacing w:val="-5"/>
                <w:sz w:val="20"/>
                <w:szCs w:val="20"/>
              </w:rPr>
              <w:t xml:space="preserve">3.7 </w:t>
            </w:r>
            <w:r w:rsidR="004B10BF" w:rsidRPr="00F86097">
              <w:rPr>
                <w:rFonts w:ascii="Arial" w:hAnsi="Arial" w:cs="Arial"/>
                <w:sz w:val="20"/>
                <w:szCs w:val="20"/>
              </w:rPr>
              <w:t xml:space="preserve">Adhere to organisational policies and procedures, legal and ethical requirements when awarding contracts </w:t>
            </w:r>
          </w:p>
          <w:p w14:paraId="6807C5A8" w14:textId="77777777" w:rsidR="00124EA5" w:rsidRPr="00F86097" w:rsidRDefault="00124EA5" w:rsidP="00AE2310">
            <w:pPr>
              <w:rPr>
                <w:rFonts w:ascii="Arial" w:hAnsi="Arial" w:cs="Arial"/>
                <w:sz w:val="20"/>
                <w:szCs w:val="20"/>
              </w:rPr>
            </w:pPr>
          </w:p>
          <w:p w14:paraId="6807C5A9" w14:textId="77777777" w:rsidR="00124EA5" w:rsidRPr="00F86097" w:rsidRDefault="00124EA5" w:rsidP="00124EA5">
            <w:pPr>
              <w:pStyle w:val="Default"/>
              <w:rPr>
                <w:rFonts w:ascii="Arial" w:hAnsi="Arial" w:cs="Arial"/>
                <w:color w:val="auto"/>
                <w:sz w:val="20"/>
                <w:szCs w:val="20"/>
              </w:rPr>
            </w:pPr>
          </w:p>
          <w:p w14:paraId="6807C5AA" w14:textId="77777777" w:rsidR="003B6C45" w:rsidRPr="00F86097" w:rsidRDefault="003B6C45" w:rsidP="008350F0">
            <w:pPr>
              <w:pStyle w:val="Default"/>
              <w:rPr>
                <w:rFonts w:ascii="Arial" w:hAnsi="Arial" w:cs="Arial"/>
                <w:sz w:val="20"/>
                <w:szCs w:val="20"/>
              </w:rPr>
            </w:pPr>
          </w:p>
        </w:tc>
        <w:tc>
          <w:tcPr>
            <w:tcW w:w="7375" w:type="dxa"/>
          </w:tcPr>
          <w:p w14:paraId="6807C5AB" w14:textId="77777777" w:rsidR="003B6C45" w:rsidRPr="00F86097" w:rsidRDefault="00FB7508" w:rsidP="00FB7508">
            <w:pPr>
              <w:rPr>
                <w:rFonts w:ascii="Arial" w:hAnsi="Arial" w:cs="Arial"/>
                <w:sz w:val="20"/>
                <w:szCs w:val="20"/>
              </w:rPr>
            </w:pPr>
            <w:r w:rsidRPr="00F86097">
              <w:rPr>
                <w:rFonts w:ascii="Arial" w:hAnsi="Arial" w:cs="Arial"/>
                <w:sz w:val="20"/>
                <w:szCs w:val="20"/>
              </w:rPr>
              <w:t xml:space="preserve">Managing the tendering process must adhere to </w:t>
            </w:r>
            <w:proofErr w:type="spellStart"/>
            <w:r w:rsidRPr="00F86097">
              <w:rPr>
                <w:rFonts w:ascii="Arial" w:hAnsi="Arial" w:cs="Arial"/>
                <w:sz w:val="20"/>
                <w:szCs w:val="20"/>
              </w:rPr>
              <w:t>organisational</w:t>
            </w:r>
            <w:proofErr w:type="spellEnd"/>
            <w:r w:rsidRPr="00F86097">
              <w:rPr>
                <w:rFonts w:ascii="Arial" w:hAnsi="Arial" w:cs="Arial"/>
                <w:sz w:val="20"/>
                <w:szCs w:val="20"/>
              </w:rPr>
              <w:t xml:space="preserve"> policies and procedures, </w:t>
            </w:r>
            <w:r w:rsidR="000D1045" w:rsidRPr="00F86097">
              <w:rPr>
                <w:rFonts w:ascii="Arial" w:hAnsi="Arial" w:cs="Arial"/>
                <w:sz w:val="20"/>
                <w:szCs w:val="20"/>
              </w:rPr>
              <w:t xml:space="preserve">and </w:t>
            </w:r>
            <w:r w:rsidRPr="00F86097">
              <w:rPr>
                <w:rFonts w:ascii="Arial" w:hAnsi="Arial" w:cs="Arial"/>
                <w:sz w:val="20"/>
                <w:szCs w:val="20"/>
              </w:rPr>
              <w:t>legal and ethical requirements</w:t>
            </w:r>
            <w:r w:rsidR="00F86097" w:rsidRPr="00F86097">
              <w:rPr>
                <w:rFonts w:ascii="Arial" w:hAnsi="Arial" w:cs="Arial"/>
                <w:sz w:val="20"/>
                <w:szCs w:val="20"/>
              </w:rPr>
              <w:t>,</w:t>
            </w:r>
            <w:r w:rsidRPr="00F86097">
              <w:rPr>
                <w:rFonts w:ascii="Arial" w:hAnsi="Arial" w:cs="Arial"/>
                <w:sz w:val="20"/>
                <w:szCs w:val="20"/>
              </w:rPr>
              <w:t xml:space="preserve"> including the requirements of contract law</w:t>
            </w:r>
            <w:r w:rsidR="000D1045" w:rsidRPr="00F86097">
              <w:rPr>
                <w:rFonts w:ascii="Arial" w:hAnsi="Arial" w:cs="Arial"/>
                <w:sz w:val="20"/>
                <w:szCs w:val="20"/>
              </w:rPr>
              <w:t>.</w:t>
            </w:r>
          </w:p>
          <w:p w14:paraId="6807C5AC" w14:textId="77777777" w:rsidR="000D1045" w:rsidRPr="00F86097" w:rsidRDefault="000D1045" w:rsidP="00FB7508">
            <w:pPr>
              <w:rPr>
                <w:rFonts w:ascii="Arial" w:hAnsi="Arial" w:cs="Arial"/>
                <w:sz w:val="20"/>
                <w:szCs w:val="20"/>
              </w:rPr>
            </w:pPr>
          </w:p>
        </w:tc>
      </w:tr>
      <w:tr w:rsidR="003B6C45" w:rsidRPr="00D93199" w14:paraId="6807C5B1" w14:textId="77777777" w:rsidTr="003E456B">
        <w:trPr>
          <w:trHeight w:val="390"/>
        </w:trPr>
        <w:tc>
          <w:tcPr>
            <w:tcW w:w="2245" w:type="dxa"/>
            <w:vMerge/>
            <w:tcBorders>
              <w:bottom w:val="single" w:sz="4" w:space="0" w:color="auto"/>
            </w:tcBorders>
          </w:tcPr>
          <w:p w14:paraId="6807C5AE" w14:textId="77777777" w:rsidR="003B6C45" w:rsidRPr="008F51CA" w:rsidRDefault="003B6C45" w:rsidP="008A5C11">
            <w:pPr>
              <w:rPr>
                <w:rFonts w:ascii="Arial" w:hAnsi="Arial" w:cs="Arial"/>
              </w:rPr>
            </w:pPr>
          </w:p>
        </w:tc>
        <w:tc>
          <w:tcPr>
            <w:tcW w:w="3330" w:type="dxa"/>
            <w:vMerge/>
            <w:tcBorders>
              <w:bottom w:val="single" w:sz="4" w:space="0" w:color="auto"/>
            </w:tcBorders>
          </w:tcPr>
          <w:p w14:paraId="6807C5AF" w14:textId="77777777" w:rsidR="003B6C45" w:rsidRPr="00F86097" w:rsidRDefault="003B6C45" w:rsidP="008A5C11">
            <w:pPr>
              <w:rPr>
                <w:rFonts w:ascii="Arial" w:hAnsi="Arial" w:cs="Arial"/>
                <w:color w:val="000000"/>
                <w:spacing w:val="-5"/>
                <w:sz w:val="20"/>
                <w:szCs w:val="20"/>
              </w:rPr>
            </w:pPr>
          </w:p>
        </w:tc>
        <w:tc>
          <w:tcPr>
            <w:tcW w:w="7375" w:type="dxa"/>
          </w:tcPr>
          <w:p w14:paraId="6807C5B0" w14:textId="77777777" w:rsidR="003B6C45" w:rsidRPr="00F86097" w:rsidRDefault="008350F0" w:rsidP="00124EA5">
            <w:pPr>
              <w:pStyle w:val="Subtitle"/>
              <w:tabs>
                <w:tab w:val="right" w:pos="7159"/>
              </w:tabs>
              <w:rPr>
                <w:rFonts w:ascii="Arial" w:hAnsi="Arial" w:cs="Arial"/>
                <w:color w:val="auto"/>
                <w:sz w:val="20"/>
                <w:szCs w:val="20"/>
              </w:rPr>
            </w:pPr>
            <w:r w:rsidRPr="00F86097">
              <w:rPr>
                <w:rFonts w:ascii="Arial" w:hAnsi="Arial" w:cs="Arial"/>
                <w:i/>
                <w:color w:val="auto"/>
                <w:sz w:val="20"/>
                <w:szCs w:val="20"/>
              </w:rPr>
              <w:t xml:space="preserve">In this criterion </w:t>
            </w:r>
            <w:r w:rsidRPr="00F86097">
              <w:rPr>
                <w:rFonts w:ascii="Arial" w:hAnsi="Arial" w:cs="Arial"/>
                <w:i/>
                <w:sz w:val="20"/>
                <w:szCs w:val="20"/>
              </w:rPr>
              <w:t xml:space="preserve">the learner is required to describe how they have managed the tendering process in line with </w:t>
            </w:r>
            <w:proofErr w:type="spellStart"/>
            <w:r w:rsidRPr="00F86097">
              <w:rPr>
                <w:rFonts w:ascii="Arial" w:hAnsi="Arial" w:cs="Arial"/>
                <w:i/>
                <w:sz w:val="20"/>
                <w:szCs w:val="20"/>
              </w:rPr>
              <w:t>organisational</w:t>
            </w:r>
            <w:proofErr w:type="spellEnd"/>
            <w:r w:rsidRPr="00F86097">
              <w:rPr>
                <w:rFonts w:ascii="Arial" w:hAnsi="Arial" w:cs="Arial"/>
                <w:i/>
                <w:sz w:val="20"/>
                <w:szCs w:val="20"/>
              </w:rPr>
              <w:t xml:space="preserve"> procedures</w:t>
            </w:r>
            <w:r w:rsidR="00094B6D" w:rsidRPr="00F86097">
              <w:rPr>
                <w:rFonts w:ascii="Arial" w:hAnsi="Arial" w:cs="Arial"/>
                <w:i/>
                <w:sz w:val="20"/>
                <w:szCs w:val="20"/>
              </w:rPr>
              <w:t xml:space="preserve"> and legal and ethical requirements</w:t>
            </w:r>
            <w:r w:rsidRPr="00F86097">
              <w:rPr>
                <w:rFonts w:ascii="Arial" w:hAnsi="Arial" w:cs="Arial"/>
                <w:i/>
                <w:sz w:val="20"/>
                <w:szCs w:val="20"/>
              </w:rPr>
              <w:t>. Evidence should be provided to support the description</w:t>
            </w:r>
          </w:p>
        </w:tc>
      </w:tr>
    </w:tbl>
    <w:p w14:paraId="6807C5B2"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7C5B5" w14:textId="77777777" w:rsidR="00B86EFD" w:rsidRDefault="00B86EFD" w:rsidP="00680E2E">
      <w:pPr>
        <w:spacing w:after="0" w:line="240" w:lineRule="auto"/>
      </w:pPr>
      <w:r>
        <w:separator/>
      </w:r>
    </w:p>
  </w:endnote>
  <w:endnote w:type="continuationSeparator" w:id="0">
    <w:p w14:paraId="6807C5B6" w14:textId="77777777" w:rsidR="00B86EFD" w:rsidRDefault="00B86EFD"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434F" w14:textId="77777777" w:rsidR="00A647F4" w:rsidRPr="009575AD" w:rsidRDefault="00A647F4" w:rsidP="00A647F4">
    <w:pPr>
      <w:pStyle w:val="ListParagraph"/>
      <w:spacing w:after="0" w:line="240" w:lineRule="auto"/>
      <w:ind w:left="0"/>
      <w:rPr>
        <w:rFonts w:ascii="Arial" w:hAnsi="Arial" w:cs="Arial"/>
        <w:sz w:val="20"/>
        <w:szCs w:val="20"/>
        <w:lang w:val="en-IN"/>
      </w:rPr>
    </w:pPr>
    <w:r w:rsidRPr="009575AD">
      <w:rPr>
        <w:rFonts w:ascii="Arial" w:eastAsia="Calibri" w:hAnsi="Arial" w:cs="Arial"/>
        <w:sz w:val="20"/>
        <w:szCs w:val="20"/>
        <w:lang w:val="en-IN"/>
      </w:rPr>
      <w:t xml:space="preserve">Awarded by City &amp; Guilds </w:t>
    </w:r>
  </w:p>
  <w:p w14:paraId="29D0F808" w14:textId="77777777" w:rsidR="00A647F4" w:rsidRDefault="00A647F4" w:rsidP="00A647F4">
    <w:pPr>
      <w:spacing w:after="0" w:line="240" w:lineRule="auto"/>
      <w:ind w:right="-720"/>
      <w:jc w:val="both"/>
      <w:rPr>
        <w:rFonts w:ascii="Arial" w:hAnsi="Arial" w:cs="Arial"/>
        <w:color w:val="000000"/>
        <w:w w:val="105"/>
        <w:sz w:val="20"/>
        <w:szCs w:val="20"/>
      </w:rPr>
    </w:pPr>
    <w:r w:rsidRPr="009575AD">
      <w:rPr>
        <w:rFonts w:ascii="Arial" w:hAnsi="Arial" w:cs="Arial"/>
        <w:color w:val="000000"/>
        <w:w w:val="105"/>
        <w:sz w:val="20"/>
        <w:szCs w:val="20"/>
      </w:rPr>
      <w:t>M&amp;L 33. Manage a tendering process</w:t>
    </w:r>
  </w:p>
  <w:p w14:paraId="50C81113" w14:textId="77777777" w:rsidR="00A647F4" w:rsidRPr="009575AD" w:rsidRDefault="00A647F4" w:rsidP="00A647F4">
    <w:pPr>
      <w:spacing w:after="0" w:line="240" w:lineRule="auto"/>
      <w:ind w:right="-720"/>
      <w:jc w:val="both"/>
      <w:rPr>
        <w:rFonts w:ascii="Arial" w:hAnsi="Arial" w:cs="Arial"/>
        <w:sz w:val="20"/>
        <w:szCs w:val="20"/>
      </w:rPr>
    </w:pPr>
    <w:r>
      <w:rPr>
        <w:rFonts w:ascii="Arial" w:eastAsia="Calibri" w:hAnsi="Arial" w:cs="Arial"/>
        <w:sz w:val="20"/>
        <w:szCs w:val="20"/>
        <w:lang w:val="en-IN"/>
      </w:rPr>
      <w:t>Version 1.0 (March</w:t>
    </w:r>
    <w:r w:rsidRPr="009575AD">
      <w:rPr>
        <w:rFonts w:ascii="Arial" w:eastAsia="Calibri" w:hAnsi="Arial" w:cs="Arial"/>
        <w:sz w:val="20"/>
        <w:szCs w:val="20"/>
        <w:lang w:val="en-IN"/>
      </w:rPr>
      <w:t xml:space="preserve"> 201</w:t>
    </w:r>
    <w:r>
      <w:rPr>
        <w:rFonts w:ascii="Arial" w:eastAsia="Calibri" w:hAnsi="Arial" w:cs="Arial"/>
        <w:sz w:val="20"/>
        <w:szCs w:val="20"/>
        <w:lang w:val="en-IN"/>
      </w:rPr>
      <w:t>7</w:t>
    </w:r>
    <w:r w:rsidRPr="009575AD">
      <w:rPr>
        <w:rFonts w:ascii="Arial" w:eastAsia="Calibri" w:hAnsi="Arial" w:cs="Arial"/>
        <w:sz w:val="20"/>
        <w:szCs w:val="20"/>
        <w:lang w:val="en-IN"/>
      </w:rPr>
      <w:t>)</w:t>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r w:rsidRPr="009575AD">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9575AD">
          <w:rPr>
            <w:rFonts w:ascii="Arial" w:hAnsi="Arial" w:cs="Arial"/>
            <w:sz w:val="20"/>
            <w:szCs w:val="20"/>
          </w:rPr>
          <w:fldChar w:fldCharType="begin"/>
        </w:r>
        <w:r w:rsidRPr="009575AD">
          <w:rPr>
            <w:rFonts w:ascii="Arial" w:hAnsi="Arial" w:cs="Arial"/>
            <w:sz w:val="20"/>
            <w:szCs w:val="20"/>
          </w:rPr>
          <w:instrText xml:space="preserve"> PAGE   \* MERGEFORMAT </w:instrText>
        </w:r>
        <w:r w:rsidRPr="009575AD">
          <w:rPr>
            <w:rFonts w:ascii="Arial" w:hAnsi="Arial" w:cs="Arial"/>
            <w:sz w:val="20"/>
            <w:szCs w:val="20"/>
          </w:rPr>
          <w:fldChar w:fldCharType="separate"/>
        </w:r>
        <w:r>
          <w:rPr>
            <w:rFonts w:ascii="Arial" w:hAnsi="Arial" w:cs="Arial"/>
            <w:noProof/>
            <w:sz w:val="20"/>
            <w:szCs w:val="20"/>
          </w:rPr>
          <w:t>3</w:t>
        </w:r>
        <w:r w:rsidRPr="009575AD">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7C5B3" w14:textId="77777777" w:rsidR="00B86EFD" w:rsidRDefault="00B86EFD" w:rsidP="00680E2E">
      <w:pPr>
        <w:spacing w:after="0" w:line="240" w:lineRule="auto"/>
      </w:pPr>
      <w:r>
        <w:separator/>
      </w:r>
    </w:p>
  </w:footnote>
  <w:footnote w:type="continuationSeparator" w:id="0">
    <w:p w14:paraId="6807C5B4" w14:textId="77777777" w:rsidR="00B86EFD" w:rsidRDefault="00B86EFD"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FFDAD" w14:textId="5004139E" w:rsidR="00A647F4" w:rsidRDefault="00A647F4">
    <w:pPr>
      <w:pStyle w:val="Header"/>
    </w:pPr>
    <w:r>
      <w:rPr>
        <w:noProof/>
        <w:lang w:eastAsia="en-GB"/>
      </w:rPr>
      <w:drawing>
        <wp:anchor distT="0" distB="0" distL="114300" distR="114300" simplePos="0" relativeHeight="251659264" behindDoc="0" locked="0" layoutInCell="1" allowOverlap="1" wp14:anchorId="477169D1" wp14:editId="09E6854A">
          <wp:simplePos x="0" y="0"/>
          <wp:positionH relativeFrom="column">
            <wp:posOffset>7193280</wp:posOffset>
          </wp:positionH>
          <wp:positionV relativeFrom="paragraph">
            <wp:posOffset>-377698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554D"/>
    <w:multiLevelType w:val="hybridMultilevel"/>
    <w:tmpl w:val="5F3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B0C16"/>
    <w:multiLevelType w:val="hybridMultilevel"/>
    <w:tmpl w:val="C5D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F8BE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759E4"/>
    <w:multiLevelType w:val="hybridMultilevel"/>
    <w:tmpl w:val="86B6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8"/>
  </w:num>
  <w:num w:numId="5">
    <w:abstractNumId w:val="21"/>
  </w:num>
  <w:num w:numId="6">
    <w:abstractNumId w:val="16"/>
  </w:num>
  <w:num w:numId="7">
    <w:abstractNumId w:val="0"/>
  </w:num>
  <w:num w:numId="8">
    <w:abstractNumId w:val="7"/>
  </w:num>
  <w:num w:numId="9">
    <w:abstractNumId w:val="9"/>
  </w:num>
  <w:num w:numId="10">
    <w:abstractNumId w:val="26"/>
  </w:num>
  <w:num w:numId="11">
    <w:abstractNumId w:val="10"/>
  </w:num>
  <w:num w:numId="12">
    <w:abstractNumId w:val="19"/>
  </w:num>
  <w:num w:numId="13">
    <w:abstractNumId w:val="1"/>
  </w:num>
  <w:num w:numId="14">
    <w:abstractNumId w:val="6"/>
  </w:num>
  <w:num w:numId="15">
    <w:abstractNumId w:val="18"/>
  </w:num>
  <w:num w:numId="16">
    <w:abstractNumId w:val="23"/>
  </w:num>
  <w:num w:numId="17">
    <w:abstractNumId w:val="4"/>
  </w:num>
  <w:num w:numId="18">
    <w:abstractNumId w:val="22"/>
  </w:num>
  <w:num w:numId="19">
    <w:abstractNumId w:val="5"/>
  </w:num>
  <w:num w:numId="20">
    <w:abstractNumId w:val="25"/>
  </w:num>
  <w:num w:numId="21">
    <w:abstractNumId w:val="27"/>
  </w:num>
  <w:num w:numId="22">
    <w:abstractNumId w:val="15"/>
  </w:num>
  <w:num w:numId="23">
    <w:abstractNumId w:val="3"/>
  </w:num>
  <w:num w:numId="24">
    <w:abstractNumId w:val="13"/>
  </w:num>
  <w:num w:numId="25">
    <w:abstractNumId w:val="14"/>
  </w:num>
  <w:num w:numId="26">
    <w:abstractNumId w:val="2"/>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41571"/>
    <w:rsid w:val="00044CA4"/>
    <w:rsid w:val="00067590"/>
    <w:rsid w:val="00073398"/>
    <w:rsid w:val="00073A5B"/>
    <w:rsid w:val="00094874"/>
    <w:rsid w:val="00094B6D"/>
    <w:rsid w:val="0009576C"/>
    <w:rsid w:val="000A3041"/>
    <w:rsid w:val="000A4AF3"/>
    <w:rsid w:val="000A599B"/>
    <w:rsid w:val="000B0E08"/>
    <w:rsid w:val="000D0C54"/>
    <w:rsid w:val="000D100F"/>
    <w:rsid w:val="000D1045"/>
    <w:rsid w:val="000D7843"/>
    <w:rsid w:val="000F7B67"/>
    <w:rsid w:val="00102D95"/>
    <w:rsid w:val="00117BFB"/>
    <w:rsid w:val="001209B4"/>
    <w:rsid w:val="00124EA5"/>
    <w:rsid w:val="00127F57"/>
    <w:rsid w:val="00136457"/>
    <w:rsid w:val="00150361"/>
    <w:rsid w:val="00161B24"/>
    <w:rsid w:val="00170CBC"/>
    <w:rsid w:val="00171B56"/>
    <w:rsid w:val="00173291"/>
    <w:rsid w:val="00174C3B"/>
    <w:rsid w:val="0018581B"/>
    <w:rsid w:val="0018646D"/>
    <w:rsid w:val="00187563"/>
    <w:rsid w:val="00192AF9"/>
    <w:rsid w:val="00193362"/>
    <w:rsid w:val="001978EA"/>
    <w:rsid w:val="001A65BE"/>
    <w:rsid w:val="001B224A"/>
    <w:rsid w:val="001B3D4B"/>
    <w:rsid w:val="001C1EC5"/>
    <w:rsid w:val="001D4C91"/>
    <w:rsid w:val="001E01E6"/>
    <w:rsid w:val="001E174A"/>
    <w:rsid w:val="001E6D59"/>
    <w:rsid w:val="001E7731"/>
    <w:rsid w:val="001F7A46"/>
    <w:rsid w:val="002227F9"/>
    <w:rsid w:val="0023346A"/>
    <w:rsid w:val="00244BE4"/>
    <w:rsid w:val="00257A5D"/>
    <w:rsid w:val="00264CFD"/>
    <w:rsid w:val="00280499"/>
    <w:rsid w:val="0028269E"/>
    <w:rsid w:val="002900C4"/>
    <w:rsid w:val="002A7CF0"/>
    <w:rsid w:val="002C59A2"/>
    <w:rsid w:val="002C7DB5"/>
    <w:rsid w:val="002D3D18"/>
    <w:rsid w:val="002E2532"/>
    <w:rsid w:val="002E3736"/>
    <w:rsid w:val="00314581"/>
    <w:rsid w:val="00315FFC"/>
    <w:rsid w:val="00317E22"/>
    <w:rsid w:val="00322343"/>
    <w:rsid w:val="003367B6"/>
    <w:rsid w:val="003561D4"/>
    <w:rsid w:val="00357C8A"/>
    <w:rsid w:val="003724DC"/>
    <w:rsid w:val="0039062B"/>
    <w:rsid w:val="00391D0E"/>
    <w:rsid w:val="0039621E"/>
    <w:rsid w:val="00397EBE"/>
    <w:rsid w:val="003A3CE4"/>
    <w:rsid w:val="003B6C45"/>
    <w:rsid w:val="003C0833"/>
    <w:rsid w:val="003D0628"/>
    <w:rsid w:val="003D465B"/>
    <w:rsid w:val="003F0D2F"/>
    <w:rsid w:val="00411C14"/>
    <w:rsid w:val="0041533E"/>
    <w:rsid w:val="0042466D"/>
    <w:rsid w:val="0042635E"/>
    <w:rsid w:val="00435967"/>
    <w:rsid w:val="00437418"/>
    <w:rsid w:val="004379BD"/>
    <w:rsid w:val="00437D70"/>
    <w:rsid w:val="00450419"/>
    <w:rsid w:val="00452935"/>
    <w:rsid w:val="00464853"/>
    <w:rsid w:val="00467194"/>
    <w:rsid w:val="004719C9"/>
    <w:rsid w:val="0047588C"/>
    <w:rsid w:val="00480A5F"/>
    <w:rsid w:val="00481E2F"/>
    <w:rsid w:val="004961BC"/>
    <w:rsid w:val="004B10BF"/>
    <w:rsid w:val="004C34FA"/>
    <w:rsid w:val="004C5ECD"/>
    <w:rsid w:val="004D16EA"/>
    <w:rsid w:val="004D3021"/>
    <w:rsid w:val="004E253C"/>
    <w:rsid w:val="004E3C12"/>
    <w:rsid w:val="004F2E22"/>
    <w:rsid w:val="00502376"/>
    <w:rsid w:val="00502BB5"/>
    <w:rsid w:val="00510848"/>
    <w:rsid w:val="00521509"/>
    <w:rsid w:val="005351C0"/>
    <w:rsid w:val="00543EBE"/>
    <w:rsid w:val="00545568"/>
    <w:rsid w:val="00556653"/>
    <w:rsid w:val="00564F5E"/>
    <w:rsid w:val="005A57C3"/>
    <w:rsid w:val="005B19B4"/>
    <w:rsid w:val="005B3858"/>
    <w:rsid w:val="005C4090"/>
    <w:rsid w:val="005C53D9"/>
    <w:rsid w:val="005D4F7E"/>
    <w:rsid w:val="005F0BEC"/>
    <w:rsid w:val="005F1647"/>
    <w:rsid w:val="005F63EF"/>
    <w:rsid w:val="006138CD"/>
    <w:rsid w:val="00617926"/>
    <w:rsid w:val="00631D41"/>
    <w:rsid w:val="0063360B"/>
    <w:rsid w:val="00635D28"/>
    <w:rsid w:val="006475C6"/>
    <w:rsid w:val="00651606"/>
    <w:rsid w:val="00651C2C"/>
    <w:rsid w:val="00653275"/>
    <w:rsid w:val="006535A1"/>
    <w:rsid w:val="006706A6"/>
    <w:rsid w:val="00680E2E"/>
    <w:rsid w:val="0068621B"/>
    <w:rsid w:val="00696A36"/>
    <w:rsid w:val="006A6595"/>
    <w:rsid w:val="006B0399"/>
    <w:rsid w:val="006B2278"/>
    <w:rsid w:val="006B5FAC"/>
    <w:rsid w:val="006B71B7"/>
    <w:rsid w:val="006C45CC"/>
    <w:rsid w:val="006C7466"/>
    <w:rsid w:val="006D1212"/>
    <w:rsid w:val="006E1372"/>
    <w:rsid w:val="006E21D9"/>
    <w:rsid w:val="006F5D55"/>
    <w:rsid w:val="00706C2E"/>
    <w:rsid w:val="00711E71"/>
    <w:rsid w:val="00713CAA"/>
    <w:rsid w:val="007322F4"/>
    <w:rsid w:val="007409A5"/>
    <w:rsid w:val="00741329"/>
    <w:rsid w:val="00750E67"/>
    <w:rsid w:val="0075502F"/>
    <w:rsid w:val="00761EC8"/>
    <w:rsid w:val="007624BA"/>
    <w:rsid w:val="00772C79"/>
    <w:rsid w:val="00775E5B"/>
    <w:rsid w:val="00795F1C"/>
    <w:rsid w:val="00796C12"/>
    <w:rsid w:val="00797D35"/>
    <w:rsid w:val="007A20CA"/>
    <w:rsid w:val="007D0AF8"/>
    <w:rsid w:val="007E65EE"/>
    <w:rsid w:val="00805942"/>
    <w:rsid w:val="0082547F"/>
    <w:rsid w:val="008350F0"/>
    <w:rsid w:val="008354E4"/>
    <w:rsid w:val="0086095B"/>
    <w:rsid w:val="0086387B"/>
    <w:rsid w:val="00865D87"/>
    <w:rsid w:val="008663F4"/>
    <w:rsid w:val="008932A3"/>
    <w:rsid w:val="00896529"/>
    <w:rsid w:val="008A099E"/>
    <w:rsid w:val="008A16A8"/>
    <w:rsid w:val="008A39AD"/>
    <w:rsid w:val="008B592B"/>
    <w:rsid w:val="008B7205"/>
    <w:rsid w:val="008C0999"/>
    <w:rsid w:val="008D5F5C"/>
    <w:rsid w:val="008E4B96"/>
    <w:rsid w:val="008E7B58"/>
    <w:rsid w:val="008F51CA"/>
    <w:rsid w:val="0090470C"/>
    <w:rsid w:val="00906BED"/>
    <w:rsid w:val="00907B56"/>
    <w:rsid w:val="00912F84"/>
    <w:rsid w:val="00934AE1"/>
    <w:rsid w:val="009372AC"/>
    <w:rsid w:val="00950459"/>
    <w:rsid w:val="00956CD9"/>
    <w:rsid w:val="00960649"/>
    <w:rsid w:val="009E5C3F"/>
    <w:rsid w:val="009E6A14"/>
    <w:rsid w:val="009F3529"/>
    <w:rsid w:val="009F44D3"/>
    <w:rsid w:val="009F587D"/>
    <w:rsid w:val="00A00B4D"/>
    <w:rsid w:val="00A02FD3"/>
    <w:rsid w:val="00A061F4"/>
    <w:rsid w:val="00A102BA"/>
    <w:rsid w:val="00A132A3"/>
    <w:rsid w:val="00A16E7C"/>
    <w:rsid w:val="00A23266"/>
    <w:rsid w:val="00A40045"/>
    <w:rsid w:val="00A647F4"/>
    <w:rsid w:val="00A6502D"/>
    <w:rsid w:val="00A65E4B"/>
    <w:rsid w:val="00A7002E"/>
    <w:rsid w:val="00A7179A"/>
    <w:rsid w:val="00A84B7E"/>
    <w:rsid w:val="00A87833"/>
    <w:rsid w:val="00A87F1C"/>
    <w:rsid w:val="00A9020E"/>
    <w:rsid w:val="00A94519"/>
    <w:rsid w:val="00AC0556"/>
    <w:rsid w:val="00AC31B0"/>
    <w:rsid w:val="00AC5C80"/>
    <w:rsid w:val="00AD1569"/>
    <w:rsid w:val="00AE2310"/>
    <w:rsid w:val="00AE3EF2"/>
    <w:rsid w:val="00AE5211"/>
    <w:rsid w:val="00B16C86"/>
    <w:rsid w:val="00B16CFD"/>
    <w:rsid w:val="00B27D08"/>
    <w:rsid w:val="00B30752"/>
    <w:rsid w:val="00B31385"/>
    <w:rsid w:val="00B32204"/>
    <w:rsid w:val="00B43F0B"/>
    <w:rsid w:val="00B53890"/>
    <w:rsid w:val="00B554CF"/>
    <w:rsid w:val="00B63D2C"/>
    <w:rsid w:val="00B7021F"/>
    <w:rsid w:val="00B70CC9"/>
    <w:rsid w:val="00B83D0B"/>
    <w:rsid w:val="00B86EFD"/>
    <w:rsid w:val="00B909FB"/>
    <w:rsid w:val="00BA1F7A"/>
    <w:rsid w:val="00BA4FD1"/>
    <w:rsid w:val="00BC2407"/>
    <w:rsid w:val="00BC6C65"/>
    <w:rsid w:val="00BC6F19"/>
    <w:rsid w:val="00BD4E7D"/>
    <w:rsid w:val="00BE1409"/>
    <w:rsid w:val="00BE1E2B"/>
    <w:rsid w:val="00BE311C"/>
    <w:rsid w:val="00BE4215"/>
    <w:rsid w:val="00BF13FF"/>
    <w:rsid w:val="00BF408B"/>
    <w:rsid w:val="00BF519F"/>
    <w:rsid w:val="00C00F85"/>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A7227"/>
    <w:rsid w:val="00CB1F80"/>
    <w:rsid w:val="00CD2D0C"/>
    <w:rsid w:val="00CE2E90"/>
    <w:rsid w:val="00CE47D2"/>
    <w:rsid w:val="00CE56FE"/>
    <w:rsid w:val="00CF727A"/>
    <w:rsid w:val="00D04B2E"/>
    <w:rsid w:val="00D07373"/>
    <w:rsid w:val="00D14B7C"/>
    <w:rsid w:val="00D20E3A"/>
    <w:rsid w:val="00D22D4C"/>
    <w:rsid w:val="00D3495E"/>
    <w:rsid w:val="00D35AE0"/>
    <w:rsid w:val="00D509DA"/>
    <w:rsid w:val="00D63073"/>
    <w:rsid w:val="00D65F9C"/>
    <w:rsid w:val="00D75BF2"/>
    <w:rsid w:val="00D80983"/>
    <w:rsid w:val="00D866CD"/>
    <w:rsid w:val="00D8772D"/>
    <w:rsid w:val="00D91C24"/>
    <w:rsid w:val="00D93199"/>
    <w:rsid w:val="00DA3207"/>
    <w:rsid w:val="00DB4983"/>
    <w:rsid w:val="00DD22A0"/>
    <w:rsid w:val="00DD4A97"/>
    <w:rsid w:val="00DE34A1"/>
    <w:rsid w:val="00DE629A"/>
    <w:rsid w:val="00E0393B"/>
    <w:rsid w:val="00E27D63"/>
    <w:rsid w:val="00E33394"/>
    <w:rsid w:val="00E418D1"/>
    <w:rsid w:val="00E43E8D"/>
    <w:rsid w:val="00E43FE6"/>
    <w:rsid w:val="00E7593E"/>
    <w:rsid w:val="00E8375E"/>
    <w:rsid w:val="00E9146A"/>
    <w:rsid w:val="00EA0A4C"/>
    <w:rsid w:val="00EA304E"/>
    <w:rsid w:val="00EB25E1"/>
    <w:rsid w:val="00EC3157"/>
    <w:rsid w:val="00EC40A8"/>
    <w:rsid w:val="00ED0F25"/>
    <w:rsid w:val="00EE22CC"/>
    <w:rsid w:val="00EF56A1"/>
    <w:rsid w:val="00F00C56"/>
    <w:rsid w:val="00F07AA5"/>
    <w:rsid w:val="00F17F2D"/>
    <w:rsid w:val="00F17F6F"/>
    <w:rsid w:val="00F259EA"/>
    <w:rsid w:val="00F30CFA"/>
    <w:rsid w:val="00F31B62"/>
    <w:rsid w:val="00F442A6"/>
    <w:rsid w:val="00F46AB7"/>
    <w:rsid w:val="00F62377"/>
    <w:rsid w:val="00F66A76"/>
    <w:rsid w:val="00F81527"/>
    <w:rsid w:val="00F86097"/>
    <w:rsid w:val="00FA49A0"/>
    <w:rsid w:val="00FB7508"/>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C489"/>
  <w15:docId w15:val="{4A4F7FA9-1063-4112-AC04-B9AACADE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909FB"/>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42816286">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1506</Value>
      <Value>1002</Value>
      <Value>1001</Value>
      <Value>1000</Value>
      <Value>999</Value>
      <Value>993</Value>
      <Value>992</Value>
      <Value>1474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8622-407</TermName>
          <TermId xmlns="http://schemas.microsoft.com/office/infopath/2007/PartnerControls">9f460c77-5b47-4942-875a-9b7a979aa990</TermId>
        </TermInfo>
        <TermInfo xmlns="http://schemas.microsoft.com/office/infopath/2007/PartnerControls">
          <TermName xmlns="http://schemas.microsoft.com/office/infopath/2007/PartnerControls">8623-407</TermName>
          <TermId xmlns="http://schemas.microsoft.com/office/infopath/2007/PartnerControls">1cd4c451-d186-4727-9acf-58dcdef0148b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A1BB3-9A87-4B3D-8C1F-E6849B5FFAC9}"/>
</file>

<file path=customXml/itemProps2.xml><?xml version="1.0" encoding="utf-8"?>
<ds:datastoreItem xmlns:ds="http://schemas.openxmlformats.org/officeDocument/2006/customXml" ds:itemID="{AFD892F7-1BD8-4695-9995-C932F1A869E6}"/>
</file>

<file path=customXml/itemProps3.xml><?xml version="1.0" encoding="utf-8"?>
<ds:datastoreItem xmlns:ds="http://schemas.openxmlformats.org/officeDocument/2006/customXml" ds:itemID="{12184F18-C371-48C5-BCB7-B57325954E62}"/>
</file>

<file path=customXml/itemProps4.xml><?xml version="1.0" encoding="utf-8"?>
<ds:datastoreItem xmlns:ds="http://schemas.openxmlformats.org/officeDocument/2006/customXml" ds:itemID="{8737CC55-D08D-464F-83F2-E3344E613146}"/>
</file>

<file path=docProps/app.xml><?xml version="1.0" encoding="utf-8"?>
<Properties xmlns="http://schemas.openxmlformats.org/officeDocument/2006/extended-properties" xmlns:vt="http://schemas.openxmlformats.org/officeDocument/2006/docPropsVTypes">
  <Template>Normal</Template>
  <TotalTime>18</TotalTime>
  <Pages>5</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 tendering process (ML33)</dc:title>
  <dc:creator>Linda Orr</dc:creator>
  <cp:lastModifiedBy>Jurgita Baleviciute</cp:lastModifiedBy>
  <cp:revision>20</cp:revision>
  <dcterms:created xsi:type="dcterms:W3CDTF">2014-08-16T11:45:00Z</dcterms:created>
  <dcterms:modified xsi:type="dcterms:W3CDTF">2017-03-10T17:02:00Z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1474;#8622-407|9f460c77-5b47-4942-875a-9b7a979aa990;#1506;#8623-407|1cd4c451-d186-4727-9acf-58dcdef0148b</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