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DDA7D" w14:textId="7AB74655" w:rsidR="007B77B1" w:rsidRPr="00922995" w:rsidRDefault="007B77B1" w:rsidP="007B77B1">
      <w:pPr>
        <w:rPr>
          <w:rFonts w:ascii="Arial" w:hAnsi="Arial" w:cs="Arial"/>
          <w:sz w:val="20"/>
          <w:szCs w:val="20"/>
        </w:rPr>
      </w:pPr>
      <w:r w:rsidRPr="00922995">
        <w:rPr>
          <w:rFonts w:ascii="Arial" w:eastAsia="Calibri" w:hAnsi="Arial" w:cs="Arial"/>
          <w:color w:val="000000"/>
          <w:w w:val="105"/>
          <w:sz w:val="20"/>
          <w:szCs w:val="20"/>
          <w:lang w:val="en-US"/>
        </w:rPr>
        <w:t xml:space="preserve">M&amp;L </w:t>
      </w:r>
      <w:r w:rsidRPr="00922995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35 </w:t>
      </w:r>
      <w:r w:rsidR="003512F4">
        <w:rPr>
          <w:rFonts w:ascii="Arial" w:eastAsia="Calibri" w:hAnsi="Arial" w:cs="Arial"/>
          <w:color w:val="000000"/>
          <w:sz w:val="20"/>
          <w:szCs w:val="20"/>
          <w:lang w:val="en-US"/>
        </w:rPr>
        <w:t>M</w:t>
      </w:r>
      <w:bookmarkStart w:id="0" w:name="_GoBack"/>
      <w:bookmarkEnd w:id="0"/>
      <w:r w:rsidR="003512F4" w:rsidRPr="00922995">
        <w:rPr>
          <w:rFonts w:ascii="Arial" w:hAnsi="Arial" w:cs="Arial"/>
          <w:sz w:val="20"/>
          <w:szCs w:val="20"/>
        </w:rPr>
        <w:t>anage</w:t>
      </w:r>
      <w:r w:rsidRPr="00922995">
        <w:rPr>
          <w:rFonts w:ascii="Arial" w:hAnsi="Arial" w:cs="Arial"/>
          <w:sz w:val="20"/>
          <w:szCs w:val="20"/>
        </w:rPr>
        <w:t xml:space="preserve"> the impact of work activities on the environment </w:t>
      </w:r>
    </w:p>
    <w:p w14:paraId="07FDDA7E" w14:textId="77777777" w:rsidR="007B77B1" w:rsidRPr="00922995" w:rsidRDefault="007B77B1" w:rsidP="007B77B1">
      <w:pPr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5"/>
        <w:gridCol w:w="2566"/>
        <w:gridCol w:w="9004"/>
      </w:tblGrid>
      <w:tr w:rsidR="007B77B1" w:rsidRPr="00922995" w14:paraId="07FDDA83" w14:textId="77777777" w:rsidTr="00A75ACF">
        <w:tc>
          <w:tcPr>
            <w:tcW w:w="2005" w:type="dxa"/>
          </w:tcPr>
          <w:p w14:paraId="07FDDA7F" w14:textId="77777777" w:rsidR="007B77B1" w:rsidRPr="00922995" w:rsidRDefault="007B77B1" w:rsidP="007B77B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Learning Outcome</w:t>
            </w:r>
          </w:p>
        </w:tc>
        <w:tc>
          <w:tcPr>
            <w:tcW w:w="2566" w:type="dxa"/>
          </w:tcPr>
          <w:p w14:paraId="07FDDA80" w14:textId="77777777" w:rsidR="007B77B1" w:rsidRPr="00922995" w:rsidRDefault="007B77B1" w:rsidP="007B77B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Assessment Criteria</w:t>
            </w:r>
          </w:p>
        </w:tc>
        <w:tc>
          <w:tcPr>
            <w:tcW w:w="9004" w:type="dxa"/>
          </w:tcPr>
          <w:p w14:paraId="07FDDA81" w14:textId="77777777" w:rsidR="007B77B1" w:rsidRPr="00922995" w:rsidRDefault="007B77B1" w:rsidP="007B77B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Guidelines and range</w:t>
            </w:r>
          </w:p>
          <w:p w14:paraId="07FDDA82" w14:textId="77777777" w:rsidR="007B77B1" w:rsidRPr="00922995" w:rsidRDefault="007B77B1" w:rsidP="007B77B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The candidate provides evidence that they understand:</w:t>
            </w:r>
          </w:p>
        </w:tc>
      </w:tr>
      <w:tr w:rsidR="007B77B1" w:rsidRPr="00922995" w14:paraId="07FDDA95" w14:textId="77777777" w:rsidTr="00A75ACF">
        <w:tc>
          <w:tcPr>
            <w:tcW w:w="2005" w:type="dxa"/>
            <w:vMerge w:val="restart"/>
          </w:tcPr>
          <w:p w14:paraId="07FDDA84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A85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1. Understand how to support environmentally-friendly working practices </w:t>
            </w:r>
          </w:p>
          <w:p w14:paraId="07FDDA86" w14:textId="77777777" w:rsidR="007B77B1" w:rsidRPr="00922995" w:rsidRDefault="007B77B1" w:rsidP="007B77B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87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A88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1.1 Explain how to carry out an environmental impact analysis </w:t>
            </w:r>
          </w:p>
          <w:p w14:paraId="07FDDA89" w14:textId="77777777" w:rsidR="007B77B1" w:rsidRPr="00922995" w:rsidRDefault="007B77B1" w:rsidP="007B77B1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8A" w14:textId="77777777" w:rsidR="007B77B1" w:rsidRPr="00922995" w:rsidRDefault="0056126E" w:rsidP="0056126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The key aspects of an environmental assessment / analysis within an organisation are identified and how they are applied. </w:t>
            </w:r>
          </w:p>
          <w:p w14:paraId="07FDDA8B" w14:textId="77777777" w:rsidR="0056126E" w:rsidRPr="00922995" w:rsidRDefault="00CB4AC4" w:rsidP="0056126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It is generally recognis</w:t>
            </w:r>
            <w:r w:rsidR="0056126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ed that there are 5 stages to this process which are:</w:t>
            </w:r>
          </w:p>
          <w:p w14:paraId="07FDDA8C" w14:textId="77777777" w:rsidR="0056126E" w:rsidRPr="00922995" w:rsidRDefault="0056126E" w:rsidP="005612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Screening</w:t>
            </w:r>
          </w:p>
          <w:p w14:paraId="07FDDA8D" w14:textId="77777777" w:rsidR="0056126E" w:rsidRPr="00922995" w:rsidRDefault="0056126E" w:rsidP="005612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Scoping</w:t>
            </w:r>
          </w:p>
          <w:p w14:paraId="07FDDA8E" w14:textId="77777777" w:rsidR="0056126E" w:rsidRPr="00922995" w:rsidRDefault="0056126E" w:rsidP="005612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Consultation</w:t>
            </w:r>
          </w:p>
          <w:p w14:paraId="07FDDA8F" w14:textId="77777777" w:rsidR="0056126E" w:rsidRPr="00922995" w:rsidRDefault="0056126E" w:rsidP="005612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P</w:t>
            </w:r>
            <w:r w:rsidR="00AE5B7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reparing an Environmental Statem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ent</w:t>
            </w:r>
          </w:p>
          <w:p w14:paraId="07FDDA90" w14:textId="77777777" w:rsidR="0056126E" w:rsidRPr="00922995" w:rsidRDefault="0056126E" w:rsidP="005612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Making a Decision</w:t>
            </w:r>
          </w:p>
          <w:p w14:paraId="07FDDA91" w14:textId="77777777" w:rsidR="004567EC" w:rsidRPr="00922995" w:rsidRDefault="004567EC" w:rsidP="004567E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7FDDA92" w14:textId="77777777" w:rsidR="004567EC" w:rsidRPr="00922995" w:rsidRDefault="002B2230" w:rsidP="004567E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The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analysis might include aspects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from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="00456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life-cycle a</w:t>
            </w:r>
            <w:r w:rsidR="00E9067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nalysis (LCA)</w:t>
            </w:r>
            <w:r w:rsidR="00456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that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cover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the product, process or activity, extraction and processing of raw materials, manufacture,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packaging, 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transportation and distribution, use/re-use/maintenance, recycling and safe and secure disposal</w:t>
            </w:r>
            <w:r w:rsidR="00456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07FDDA93" w14:textId="77777777" w:rsidR="0056126E" w:rsidRPr="00922995" w:rsidRDefault="0056126E" w:rsidP="0056126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7FDDA94" w14:textId="77777777" w:rsidR="0056126E" w:rsidRPr="00922995" w:rsidRDefault="0056126E" w:rsidP="0056126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A9A" w14:textId="77777777" w:rsidTr="00A75ACF">
        <w:tc>
          <w:tcPr>
            <w:tcW w:w="2005" w:type="dxa"/>
            <w:vMerge/>
          </w:tcPr>
          <w:p w14:paraId="07FDDA96" w14:textId="77777777" w:rsidR="007B77B1" w:rsidRPr="00922995" w:rsidRDefault="007B77B1" w:rsidP="007B77B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97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98" w14:textId="77777777" w:rsidR="007B77B1" w:rsidRPr="00922995" w:rsidRDefault="007B77B1" w:rsidP="007B77B1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In this criterion the learner is required to prov</w:t>
            </w:r>
            <w:r w:rsidR="00AE5B7C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ide an explanation of why an environmental impact analysis is required together with a brief overview of each stage</w:t>
            </w:r>
            <w:r w:rsidR="002B2230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.</w:t>
            </w:r>
            <w:r w:rsidR="00AE5B7C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14:paraId="07FDDA99" w14:textId="77777777" w:rsidR="007B77B1" w:rsidRPr="00922995" w:rsidRDefault="007B77B1" w:rsidP="007B77B1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AA7" w14:textId="77777777" w:rsidTr="00A75ACF">
        <w:trPr>
          <w:trHeight w:val="2272"/>
        </w:trPr>
        <w:tc>
          <w:tcPr>
            <w:tcW w:w="2005" w:type="dxa"/>
            <w:vMerge/>
          </w:tcPr>
          <w:p w14:paraId="07FDDA9B" w14:textId="77777777" w:rsidR="007B77B1" w:rsidRPr="00922995" w:rsidRDefault="007B77B1" w:rsidP="007B77B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9C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9D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1.2 Compare sources of specialist advice on environmentally-friendly working practices </w:t>
            </w:r>
          </w:p>
          <w:p w14:paraId="07FDDA9E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9F" w14:textId="77777777" w:rsidR="007B77B1" w:rsidRPr="00922995" w:rsidRDefault="00902353" w:rsidP="00902353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Specialist advice to be identified according to the industry or commercial business of the candidate.  Pertinent advice can be obtained from one or more of the following:</w:t>
            </w:r>
          </w:p>
          <w:p w14:paraId="07FDDAA0" w14:textId="77777777" w:rsidR="007C0389" w:rsidRPr="00922995" w:rsidRDefault="007C0389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IEMA – Institute of Environmental Management and Assessment</w:t>
            </w:r>
          </w:p>
          <w:p w14:paraId="07FDDAA1" w14:textId="77777777" w:rsidR="00902353" w:rsidRPr="00922995" w:rsidRDefault="00902353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Local Government / Authority</w:t>
            </w:r>
          </w:p>
          <w:p w14:paraId="07FDDAA2" w14:textId="77777777" w:rsidR="00902353" w:rsidRPr="00922995" w:rsidRDefault="00902353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Dept. for the Environment</w:t>
            </w:r>
            <w:r w:rsidR="007C038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(DEFRA)</w:t>
            </w:r>
          </w:p>
          <w:p w14:paraId="07FDDAA3" w14:textId="77777777" w:rsidR="00902353" w:rsidRPr="00922995" w:rsidRDefault="00902353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Dept. for Business, Innovation and Skills</w:t>
            </w:r>
          </w:p>
          <w:p w14:paraId="07FDDAA4" w14:textId="77777777" w:rsidR="006324B2" w:rsidRPr="00922995" w:rsidRDefault="006324B2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Other business specific  publications (related to the candidate</w:t>
            </w:r>
            <w:r w:rsidR="007C038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’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 organisation)</w:t>
            </w:r>
          </w:p>
          <w:p w14:paraId="07FDDAA5" w14:textId="77777777" w:rsidR="006324B2" w:rsidRPr="00922995" w:rsidRDefault="00D835AB" w:rsidP="00902353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Company 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designated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Environmental Manager / Team</w:t>
            </w:r>
          </w:p>
          <w:p w14:paraId="07FDDAA6" w14:textId="77777777" w:rsidR="00902353" w:rsidRPr="00922995" w:rsidRDefault="00902353" w:rsidP="00902353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AAB" w14:textId="77777777" w:rsidTr="00A75ACF">
        <w:tc>
          <w:tcPr>
            <w:tcW w:w="2005" w:type="dxa"/>
            <w:vMerge/>
          </w:tcPr>
          <w:p w14:paraId="07FDDAA8" w14:textId="77777777" w:rsidR="007B77B1" w:rsidRPr="00922995" w:rsidRDefault="007B77B1" w:rsidP="007B77B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A9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AA" w14:textId="77777777" w:rsidR="007B77B1" w:rsidRPr="00922995" w:rsidRDefault="007B77B1" w:rsidP="00902353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</w:t>
            </w:r>
            <w:r w:rsidR="00902353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compare </w:t>
            </w:r>
            <w:r w:rsidR="006324B2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the nature of advice and differences provided between TWO </w:t>
            </w:r>
            <w:r w:rsidR="00953176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or more </w:t>
            </w:r>
            <w:r w:rsidR="006324B2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sources</w:t>
            </w:r>
            <w:r w:rsidR="0022571C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of specialist advice</w:t>
            </w:r>
            <w:r w:rsidR="006324B2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7B77B1" w:rsidRPr="00922995" w14:paraId="07FDDAB9" w14:textId="77777777" w:rsidTr="00A75ACF">
        <w:tc>
          <w:tcPr>
            <w:tcW w:w="2005" w:type="dxa"/>
            <w:vMerge/>
          </w:tcPr>
          <w:p w14:paraId="07FDDAAC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AD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AE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1.3 Analyse the business and environmental benefits of effective energy management </w:t>
            </w:r>
            <w:r w:rsidRPr="00922995">
              <w:rPr>
                <w:rFonts w:ascii="Arial" w:hAnsi="Arial" w:cs="Arial"/>
                <w:sz w:val="20"/>
                <w:szCs w:val="20"/>
              </w:rPr>
              <w:lastRenderedPageBreak/>
              <w:t xml:space="preserve">policies </w:t>
            </w:r>
          </w:p>
          <w:p w14:paraId="07FDDAAF" w14:textId="77777777" w:rsidR="007B77B1" w:rsidRPr="00922995" w:rsidRDefault="007B77B1" w:rsidP="007B77B1">
            <w:pPr>
              <w:spacing w:before="72"/>
              <w:ind w:right="432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B0" w14:textId="77777777" w:rsidR="007B77B1" w:rsidRPr="00922995" w:rsidRDefault="006324B2" w:rsidP="006324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There are a number of benefits that can be identified from an analysis of business </w:t>
            </w:r>
            <w:r w:rsidR="00D835AB" w:rsidRPr="00922995">
              <w:rPr>
                <w:rFonts w:ascii="Arial" w:eastAsia="Calibri" w:hAnsi="Arial" w:cs="Arial"/>
                <w:sz w:val="20"/>
                <w:szCs w:val="20"/>
              </w:rPr>
              <w:t>energy management policies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>. Benefits affecting energy management may include</w:t>
            </w:r>
            <w:r w:rsidR="003A33B6" w:rsidRPr="00922995">
              <w:rPr>
                <w:rFonts w:ascii="Arial" w:eastAsia="Calibri" w:hAnsi="Arial" w:cs="Arial"/>
                <w:sz w:val="20"/>
                <w:szCs w:val="20"/>
              </w:rPr>
              <w:t xml:space="preserve"> savings from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07FDDAB1" w14:textId="77777777" w:rsidR="006324B2" w:rsidRPr="00922995" w:rsidRDefault="006324B2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>Heating and lighting</w:t>
            </w:r>
          </w:p>
          <w:p w14:paraId="07FDDAB2" w14:textId="77777777" w:rsidR="006324B2" w:rsidRPr="00922995" w:rsidRDefault="006324B2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 xml:space="preserve">Ventilation 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</w:rPr>
              <w:t>/ Air conditioning</w:t>
            </w:r>
          </w:p>
          <w:p w14:paraId="07FDDAB3" w14:textId="77777777" w:rsidR="006324B2" w:rsidRPr="00922995" w:rsidRDefault="006324B2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>Material waste reduction</w:t>
            </w:r>
            <w:r w:rsidR="003A33B6" w:rsidRPr="00922995">
              <w:rPr>
                <w:rFonts w:ascii="Arial" w:eastAsia="Calibri" w:hAnsi="Arial" w:cs="Arial"/>
                <w:sz w:val="20"/>
                <w:szCs w:val="20"/>
              </w:rPr>
              <w:t>, storage and collection</w:t>
            </w:r>
          </w:p>
          <w:p w14:paraId="07FDDAB4" w14:textId="77777777" w:rsidR="006324B2" w:rsidRPr="00922995" w:rsidRDefault="006324B2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lastRenderedPageBreak/>
              <w:t>Human resource waste reduction (working practice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</w:rPr>
              <w:t xml:space="preserve"> efficiencie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>s)</w:t>
            </w:r>
          </w:p>
          <w:p w14:paraId="07FDDAB5" w14:textId="77777777" w:rsidR="00D835AB" w:rsidRPr="00922995" w:rsidRDefault="00D835AB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>Process efficiencies (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</w:rPr>
              <w:t>increasing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 xml:space="preserve"> product throughput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</w:rPr>
              <w:t xml:space="preserve"> and output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07FDDAB6" w14:textId="77777777" w:rsidR="003A33B6" w:rsidRPr="00922995" w:rsidRDefault="003A33B6" w:rsidP="00D835AB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>Recycling</w:t>
            </w:r>
          </w:p>
          <w:p w14:paraId="07FDDAB7" w14:textId="77777777" w:rsidR="00953176" w:rsidRPr="00922995" w:rsidRDefault="00953176" w:rsidP="00D835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FDDAB8" w14:textId="77777777" w:rsidR="00D835AB" w:rsidRPr="00922995" w:rsidRDefault="00953176" w:rsidP="00D835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</w:rPr>
              <w:t xml:space="preserve">Reference may be made to </w:t>
            </w:r>
            <w:r w:rsidR="00BD0191" w:rsidRPr="00922995">
              <w:rPr>
                <w:rFonts w:ascii="Arial" w:eastAsia="Calibri" w:hAnsi="Arial" w:cs="Arial"/>
                <w:sz w:val="20"/>
                <w:szCs w:val="20"/>
              </w:rPr>
              <w:t>e.g.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 xml:space="preserve">British Standard - BS7750  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</w:rPr>
              <w:t>Environmental Management Systems</w:t>
            </w:r>
            <w:r w:rsidRPr="009229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7B77B1" w:rsidRPr="00922995" w14:paraId="07FDDABD" w14:textId="77777777" w:rsidTr="00A75ACF">
        <w:tc>
          <w:tcPr>
            <w:tcW w:w="2005" w:type="dxa"/>
            <w:vMerge/>
          </w:tcPr>
          <w:p w14:paraId="07FDDABA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BB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BC" w14:textId="77777777" w:rsidR="007B77B1" w:rsidRPr="00922995" w:rsidRDefault="007B77B1" w:rsidP="00D835AB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provide an analysis of both the advantages and limitations of three </w:t>
            </w:r>
            <w:r w:rsidR="00D835AB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effective benefits of energy management policy.</w:t>
            </w:r>
          </w:p>
        </w:tc>
      </w:tr>
      <w:tr w:rsidR="007B77B1" w:rsidRPr="00922995" w14:paraId="07FDDAC5" w14:textId="77777777" w:rsidTr="00A75ACF">
        <w:trPr>
          <w:trHeight w:val="408"/>
        </w:trPr>
        <w:tc>
          <w:tcPr>
            <w:tcW w:w="2005" w:type="dxa"/>
            <w:vMerge/>
          </w:tcPr>
          <w:p w14:paraId="07FDDABE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BF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C0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1.4 Explain the health and safety requirements for the use and disposal of resources and waste </w:t>
            </w:r>
          </w:p>
          <w:p w14:paraId="07FDDAC1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C2" w14:textId="77777777" w:rsidR="007B77B1" w:rsidRPr="00922995" w:rsidRDefault="00D835AB" w:rsidP="002257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Identify waste within 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an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organisation and explain the appropriateness of the use and disposal arran</w:t>
            </w:r>
            <w:r w:rsidR="0022571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gements showing particular concern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hazardous </w:t>
            </w:r>
            <w:r w:rsidR="003A33B6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substance storage, handling and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waste</w:t>
            </w:r>
            <w:r w:rsidR="003A33B6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storage and collection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07FDDAC3" w14:textId="77777777" w:rsidR="003A33B6" w:rsidRPr="00922995" w:rsidRDefault="003A33B6" w:rsidP="002257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Reference may be made to the National Standards ISO14001 that affect environmental health and safety. </w:t>
            </w:r>
          </w:p>
          <w:p w14:paraId="07FDDAC4" w14:textId="77777777" w:rsidR="0022571C" w:rsidRPr="00922995" w:rsidRDefault="0022571C" w:rsidP="002257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AC9" w14:textId="77777777" w:rsidTr="00A75ACF">
        <w:trPr>
          <w:trHeight w:val="407"/>
        </w:trPr>
        <w:tc>
          <w:tcPr>
            <w:tcW w:w="2005" w:type="dxa"/>
            <w:vMerge/>
          </w:tcPr>
          <w:p w14:paraId="07FDDAC6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C7" w14:textId="77777777" w:rsidR="007B77B1" w:rsidRPr="00922995" w:rsidRDefault="007B77B1" w:rsidP="007B77B1">
            <w:pPr>
              <w:spacing w:before="72"/>
              <w:ind w:right="432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C8" w14:textId="77777777" w:rsidR="003A33B6" w:rsidRPr="00922995" w:rsidRDefault="007B77B1" w:rsidP="003A33B6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assess </w:t>
            </w:r>
            <w:r w:rsidR="003A33B6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the impact that health and safety requirements has on individuals and the organisation overall. </w:t>
            </w:r>
          </w:p>
        </w:tc>
      </w:tr>
      <w:tr w:rsidR="007B77B1" w:rsidRPr="00922995" w14:paraId="07FDDAD7" w14:textId="77777777" w:rsidTr="00A75ACF">
        <w:trPr>
          <w:trHeight w:val="256"/>
        </w:trPr>
        <w:tc>
          <w:tcPr>
            <w:tcW w:w="2005" w:type="dxa"/>
            <w:vMerge w:val="restart"/>
          </w:tcPr>
          <w:p w14:paraId="07FDDACA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ACB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2. Be able to organise work so as to minimise the impact on the environment </w:t>
            </w:r>
          </w:p>
          <w:p w14:paraId="07FDDACC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CD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ACE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2.1 Analyse potentially adverse effects on the environment caused by work activities </w:t>
            </w:r>
          </w:p>
          <w:p w14:paraId="07FDDACF" w14:textId="77777777" w:rsidR="007B77B1" w:rsidRPr="00922995" w:rsidRDefault="007B77B1" w:rsidP="007B77B1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D0" w14:textId="77777777" w:rsidR="007B77B1" w:rsidRPr="00922995" w:rsidRDefault="00BF2781" w:rsidP="007B77B1">
            <w:p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Inefficient and inconsiderate working practices </w:t>
            </w:r>
            <w:r w:rsidR="0030480A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involving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the use of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both materials and manpower impact on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the environment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 Where these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  <w:r w:rsidR="0030480A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d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verse effects </w:t>
            </w:r>
            <w:r w:rsidR="0030480A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are minimis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ed there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will be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an increase in effective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environmental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practic</w:t>
            </w:r>
            <w:r w:rsidR="00BD019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Potential adverse effects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may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relate to and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include:</w:t>
            </w:r>
          </w:p>
          <w:p w14:paraId="07FDDAD1" w14:textId="77777777" w:rsidR="00BF2781" w:rsidRPr="00922995" w:rsidRDefault="00BF2781" w:rsidP="00434B01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Physical waste</w:t>
            </w:r>
            <w:r w:rsidR="001A7ED2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; safe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removal, storage and disposal</w:t>
            </w:r>
            <w:r w:rsidR="003A33B6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with particular concern for hazardous substances</w:t>
            </w:r>
          </w:p>
          <w:p w14:paraId="07FDDAD2" w14:textId="77777777" w:rsidR="00BF2781" w:rsidRPr="00922995" w:rsidRDefault="00BF2781" w:rsidP="00434B01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Contamination 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/ pollution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- water, soil and air</w:t>
            </w:r>
          </w:p>
          <w:p w14:paraId="07FDDAD3" w14:textId="77777777" w:rsidR="00434B01" w:rsidRPr="00922995" w:rsidRDefault="0030480A" w:rsidP="00434B01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ffects on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Fauna and Flora</w:t>
            </w:r>
          </w:p>
          <w:p w14:paraId="07FDDAD4" w14:textId="77777777" w:rsidR="00BF2781" w:rsidRPr="00922995" w:rsidRDefault="00434B01" w:rsidP="00434B01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Wildlife</w:t>
            </w:r>
            <w:r w:rsidR="001A7ED2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07FDDAD5" w14:textId="77777777" w:rsidR="001A7ED2" w:rsidRPr="00922995" w:rsidRDefault="001A7ED2" w:rsidP="00434B01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Forestation</w:t>
            </w:r>
          </w:p>
          <w:p w14:paraId="07FDDAD6" w14:textId="77777777" w:rsidR="00BF2781" w:rsidRPr="00922995" w:rsidRDefault="00BF2781" w:rsidP="007B77B1">
            <w:p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B77B1" w:rsidRPr="00922995" w14:paraId="07FDDADB" w14:textId="77777777" w:rsidTr="00A75ACF">
        <w:trPr>
          <w:trHeight w:val="256"/>
        </w:trPr>
        <w:tc>
          <w:tcPr>
            <w:tcW w:w="2005" w:type="dxa"/>
            <w:vMerge/>
          </w:tcPr>
          <w:p w14:paraId="07FDDAD8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D9" w14:textId="77777777" w:rsidR="007B77B1" w:rsidRPr="00922995" w:rsidRDefault="007B77B1" w:rsidP="007B77B1">
            <w:pPr>
              <w:spacing w:before="36" w:line="285" w:lineRule="exact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DA" w14:textId="77777777" w:rsidR="007B77B1" w:rsidRPr="00922995" w:rsidRDefault="007B77B1" w:rsidP="00E90670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In this criterion the learner is required to provide evidence that two or more </w:t>
            </w:r>
            <w:r w:rsidR="00BF2781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adverse </w:t>
            </w:r>
            <w:r w:rsidR="00E90670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work based activities of</w:t>
            </w:r>
            <w:r w:rsidR="001A7ED2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="00BF2781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environmental effects have been </w:t>
            </w:r>
            <w:r w:rsidR="001A7ED2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thoroughly </w:t>
            </w:r>
            <w:r w:rsidR="00BF2781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analysed</w:t>
            </w:r>
          </w:p>
        </w:tc>
      </w:tr>
      <w:tr w:rsidR="007B77B1" w:rsidRPr="00922995" w14:paraId="07FDDAE1" w14:textId="77777777" w:rsidTr="00A75ACF">
        <w:trPr>
          <w:trHeight w:val="1266"/>
        </w:trPr>
        <w:tc>
          <w:tcPr>
            <w:tcW w:w="2005" w:type="dxa"/>
            <w:vMerge/>
          </w:tcPr>
          <w:p w14:paraId="07FDDADC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DD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DE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2.2 Evaluate the effectiveness of methods of improving environmental sustainability in an organisation </w:t>
            </w:r>
          </w:p>
          <w:p w14:paraId="07FDDADF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E0" w14:textId="77777777" w:rsidR="007B77B1" w:rsidRPr="00922995" w:rsidRDefault="00574185" w:rsidP="00453B0E">
            <w:pPr>
              <w:spacing w:after="160" w:line="259" w:lineRule="auto"/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The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evaluation of current working practices should identify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suitable 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areas for improvement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as identified in </w:t>
            </w:r>
            <w:r w:rsidR="0030480A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AC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2.1 above</w:t>
            </w:r>
            <w:r w:rsidR="00434B01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Some work practices may result in short term gains but others need to be integrated into </w:t>
            </w:r>
            <w:r w:rsidR="00457207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everyday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working methods</w:t>
            </w:r>
            <w:r w:rsidR="001A7ED2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without prejudice to cost or quality,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to enable their sustainability in the longer term. </w:t>
            </w:r>
            <w:r w:rsidR="00E9067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An analysis of identified methods is required to determine </w:t>
            </w:r>
            <w:r w:rsidR="00453B0E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which process or procedure provides ‘best available technique not entailing excessive cost’ (BATNEEC)</w:t>
            </w:r>
            <w:r w:rsidR="006F00F0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B77B1" w:rsidRPr="00922995" w14:paraId="07FDDAE5" w14:textId="77777777" w:rsidTr="00A75ACF">
        <w:trPr>
          <w:trHeight w:val="1128"/>
        </w:trPr>
        <w:tc>
          <w:tcPr>
            <w:tcW w:w="2005" w:type="dxa"/>
            <w:vMerge/>
          </w:tcPr>
          <w:p w14:paraId="07FDDAE2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E3" w14:textId="77777777" w:rsidR="007B77B1" w:rsidRPr="00922995" w:rsidRDefault="007B77B1" w:rsidP="007B77B1">
            <w:pPr>
              <w:spacing w:before="72" w:line="268" w:lineRule="exact"/>
              <w:rPr>
                <w:rFonts w:ascii="Arial" w:eastAsia="Calibri" w:hAnsi="Arial" w:cs="Arial"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E4" w14:textId="77777777" w:rsidR="007B77B1" w:rsidRPr="00922995" w:rsidRDefault="007B77B1" w:rsidP="00434B01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333333"/>
                <w:spacing w:val="15"/>
                <w:sz w:val="20"/>
                <w:szCs w:val="20"/>
                <w:shd w:val="clear" w:color="auto" w:fill="FFFFFF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In this criterion the learner is required to provide evidence </w:t>
            </w:r>
            <w:r w:rsidR="00434B01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of evaluating two or more methods for improving environmental sustainability.</w:t>
            </w:r>
          </w:p>
        </w:tc>
      </w:tr>
      <w:tr w:rsidR="007B77B1" w:rsidRPr="00922995" w14:paraId="07FDDAEC" w14:textId="77777777" w:rsidTr="00A75ACF">
        <w:trPr>
          <w:trHeight w:val="234"/>
        </w:trPr>
        <w:tc>
          <w:tcPr>
            <w:tcW w:w="2005" w:type="dxa"/>
            <w:vMerge/>
          </w:tcPr>
          <w:p w14:paraId="07FDDAE6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E7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E8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2.3 Implement plans and procedures to adapt work practices to make them more environmentally-friendly </w:t>
            </w:r>
          </w:p>
          <w:p w14:paraId="07FDDAE9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EA" w14:textId="77777777" w:rsidR="007B77B1" w:rsidRPr="00922995" w:rsidRDefault="00574185" w:rsidP="00574185">
            <w:pPr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Improvements should lead to cost-benefits without affecting product or service quality standards. To this effect improvements should be ‘designed in’ to working practices for the long-term, rather than a short term </w:t>
            </w:r>
            <w:r w:rsidR="001A7ED2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fix 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improvement. Changes to working practices and procedures will need to be planned for implementation over an appropriate timescale</w:t>
            </w:r>
            <w:r w:rsidR="001A7ED2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This should be demonstrated through the use of a Gantt chart or similar showing </w:t>
            </w:r>
            <w:r w:rsidR="002F2344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objective achievements over a realistic timescale</w:t>
            </w:r>
            <w:r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7FDDAEB" w14:textId="77777777" w:rsidR="00574185" w:rsidRPr="00922995" w:rsidRDefault="00574185" w:rsidP="0057418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AF0" w14:textId="77777777" w:rsidTr="00A75ACF">
        <w:trPr>
          <w:trHeight w:val="234"/>
        </w:trPr>
        <w:tc>
          <w:tcPr>
            <w:tcW w:w="2005" w:type="dxa"/>
            <w:vMerge/>
          </w:tcPr>
          <w:p w14:paraId="07FDDAED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AEE" w14:textId="77777777" w:rsidR="007B77B1" w:rsidRPr="00922995" w:rsidRDefault="007B77B1" w:rsidP="007B77B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EF" w14:textId="77777777" w:rsidR="007B77B1" w:rsidRPr="00922995" w:rsidRDefault="007B77B1" w:rsidP="002F2344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In this criterion the learner is required to pr</w:t>
            </w:r>
            <w:r w:rsidR="002F2344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oduce a Gantt chart, or similar,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="002F2344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together with a logical list of SMART objectives from start to implementation. </w:t>
            </w:r>
            <w:r w:rsidR="00574185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</w:p>
        </w:tc>
      </w:tr>
      <w:tr w:rsidR="007B77B1" w:rsidRPr="00922995" w14:paraId="07FDDAFE" w14:textId="77777777" w:rsidTr="00A75ACF">
        <w:trPr>
          <w:trHeight w:val="401"/>
        </w:trPr>
        <w:tc>
          <w:tcPr>
            <w:tcW w:w="2005" w:type="dxa"/>
            <w:vMerge/>
          </w:tcPr>
          <w:p w14:paraId="07FDDAF1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AF2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AF3" w14:textId="77777777" w:rsidR="007B77B1" w:rsidRPr="00922995" w:rsidRDefault="007B77B1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2.4 Develop a system for colleagues to recommend improvements to make work practices more environmentally-friendly </w:t>
            </w:r>
          </w:p>
          <w:p w14:paraId="07FDDAF4" w14:textId="77777777" w:rsidR="007B77B1" w:rsidRPr="00922995" w:rsidRDefault="007B77B1" w:rsidP="007B77B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AF5" w14:textId="77777777" w:rsidR="002F2344" w:rsidRPr="00922995" w:rsidRDefault="002F2344" w:rsidP="002F2344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Most good ideas for improvements are identified by</w:t>
            </w:r>
            <w:r w:rsidR="0059182F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each individual employee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working in their specific workplace roles. A system or process must be developed whereby small step, or larger leaps, (use of Kaizen) of recommended improvements by all employees can be captured. </w:t>
            </w:r>
          </w:p>
          <w:p w14:paraId="07FDDAF6" w14:textId="77777777" w:rsidR="00C15278" w:rsidRPr="00922995" w:rsidRDefault="00457207" w:rsidP="00457207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Employees should be encouraged to demonstrate how such ideas could be implemented for improved work practice, without prejudice to costs and quality (although initial ‘pump priming’ costs may be needed). </w:t>
            </w:r>
            <w:r w:rsidR="00C1527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FDDAF7" w14:textId="77777777" w:rsidR="007B77B1" w:rsidRPr="00922995" w:rsidRDefault="00C15278" w:rsidP="00457207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 typical systematic approach would involve the following sequence of steps:</w:t>
            </w:r>
          </w:p>
          <w:p w14:paraId="07FDDAF8" w14:textId="77777777" w:rsidR="00DC0DBF" w:rsidRPr="00922995" w:rsidRDefault="00DC0DBF" w:rsidP="00DC0DBF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Define objectives</w:t>
            </w:r>
          </w:p>
          <w:p w14:paraId="07FDDAF9" w14:textId="77777777" w:rsidR="00DC0DBF" w:rsidRPr="00922995" w:rsidRDefault="00DC0DBF" w:rsidP="00DC0DBF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Generate options</w:t>
            </w:r>
          </w:p>
          <w:p w14:paraId="07FDDAFA" w14:textId="77777777" w:rsidR="00DC0DBF" w:rsidRPr="00922995" w:rsidRDefault="00DC0DBF" w:rsidP="00DC0DBF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Evaluate options</w:t>
            </w:r>
          </w:p>
          <w:p w14:paraId="07FDDAFB" w14:textId="77777777" w:rsidR="00DC0DBF" w:rsidRPr="00922995" w:rsidRDefault="00DC0DBF" w:rsidP="00DC0DBF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Select and review preferred option</w:t>
            </w:r>
          </w:p>
          <w:p w14:paraId="07FDDAFC" w14:textId="77777777" w:rsidR="00DC0DBF" w:rsidRPr="00922995" w:rsidRDefault="00DC0DBF" w:rsidP="00DC0DBF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Implement and monitor.</w:t>
            </w:r>
          </w:p>
          <w:p w14:paraId="07FDDAFD" w14:textId="77777777" w:rsidR="00457207" w:rsidRPr="00922995" w:rsidRDefault="00457207" w:rsidP="00457207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B77B1" w:rsidRPr="00922995" w14:paraId="07FDDB02" w14:textId="77777777" w:rsidTr="00A75ACF">
        <w:trPr>
          <w:trHeight w:val="400"/>
        </w:trPr>
        <w:tc>
          <w:tcPr>
            <w:tcW w:w="2005" w:type="dxa"/>
            <w:vMerge/>
          </w:tcPr>
          <w:p w14:paraId="07FDDAFF" w14:textId="77777777" w:rsidR="007B77B1" w:rsidRPr="00922995" w:rsidRDefault="007B77B1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00" w14:textId="77777777" w:rsidR="007B77B1" w:rsidRPr="00922995" w:rsidRDefault="007B77B1" w:rsidP="007B77B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01" w14:textId="77777777" w:rsidR="007B77B1" w:rsidRPr="00922995" w:rsidRDefault="007B77B1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In this criterion the learner is required to demonstrate that they have </w:t>
            </w:r>
            <w:r w:rsidR="00457207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developed a process / system for capturing information and data that leads to environmentally friendly work practices.</w:t>
            </w:r>
          </w:p>
        </w:tc>
      </w:tr>
      <w:tr w:rsidR="0056126E" w:rsidRPr="00922995" w14:paraId="07FDDB0D" w14:textId="77777777" w:rsidTr="00A75ACF">
        <w:trPr>
          <w:trHeight w:val="260"/>
        </w:trPr>
        <w:tc>
          <w:tcPr>
            <w:tcW w:w="2005" w:type="dxa"/>
            <w:vMerge w:val="restart"/>
          </w:tcPr>
          <w:p w14:paraId="07FDDB03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B04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 Be able to manage the environmental impact of the use of resources </w:t>
            </w:r>
          </w:p>
          <w:p w14:paraId="07FDDB05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06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FDDB07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3.1 Explain when to obtain specialist environmental management advice </w:t>
            </w:r>
          </w:p>
          <w:p w14:paraId="07FDDB08" w14:textId="77777777" w:rsidR="0056126E" w:rsidRPr="00922995" w:rsidRDefault="0056126E" w:rsidP="007B77B1">
            <w:pPr>
              <w:pStyle w:val="Default"/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09" w14:textId="77777777" w:rsidR="00A25354" w:rsidRPr="00922995" w:rsidRDefault="00457207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Activities that 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have been identified as being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advantageous 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to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environmental 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practice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may cause for specialist data or information gathering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 such as the measurement of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</w:t>
            </w:r>
            <w:r w:rsidRPr="00922995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lev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els in the working environment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from spe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cialist equipment installations. </w:t>
            </w:r>
          </w:p>
          <w:p w14:paraId="07FDDB0A" w14:textId="77777777" w:rsidR="00457207" w:rsidRPr="00922995" w:rsidRDefault="00A25354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Current d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ata and requested information will be needed before additional development is undertaken that </w:t>
            </w:r>
            <w:r w:rsidR="0059182F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may 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subsequently be deemed erroneous.</w:t>
            </w:r>
          </w:p>
          <w:p w14:paraId="07FDDB0B" w14:textId="77777777" w:rsidR="00453B0E" w:rsidRPr="00922995" w:rsidRDefault="00453B0E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Reference should be made to British Standards BS7750 – 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Environmental Management Systems</w:t>
            </w:r>
          </w:p>
          <w:p w14:paraId="07FDDB0C" w14:textId="77777777" w:rsidR="00902332" w:rsidRPr="00922995" w:rsidRDefault="00902332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56126E" w:rsidRPr="00922995" w14:paraId="07FDDB11" w14:textId="77777777" w:rsidTr="00A75ACF">
        <w:trPr>
          <w:trHeight w:val="260"/>
        </w:trPr>
        <w:tc>
          <w:tcPr>
            <w:tcW w:w="2005" w:type="dxa"/>
            <w:vMerge/>
          </w:tcPr>
          <w:p w14:paraId="07FDDB0E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0F" w14:textId="77777777" w:rsidR="0056126E" w:rsidRPr="00922995" w:rsidRDefault="0056126E" w:rsidP="007B77B1">
            <w:pPr>
              <w:spacing w:before="36" w:line="287" w:lineRule="exact"/>
              <w:ind w:right="288"/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10" w14:textId="77777777" w:rsidR="0056126E" w:rsidRPr="00922995" w:rsidRDefault="0056126E" w:rsidP="00C37225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In this criterion the learner is required to </w:t>
            </w:r>
            <w:r w:rsidR="00C37225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explain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that </w:t>
            </w:r>
            <w:r w:rsidR="00902332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identified 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actions </w:t>
            </w:r>
            <w:r w:rsidR="00C37225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relating to the use of resources </w:t>
            </w:r>
            <w:r w:rsidR="00902332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are commensurate </w:t>
            </w:r>
            <w:r w:rsidR="0059182F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and compliant </w:t>
            </w:r>
            <w:r w:rsidR="00902332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with management and the organisation’s environmental policies.</w:t>
            </w:r>
          </w:p>
        </w:tc>
      </w:tr>
      <w:tr w:rsidR="0056126E" w:rsidRPr="00922995" w14:paraId="07FDDB20" w14:textId="77777777" w:rsidTr="00A75ACF">
        <w:trPr>
          <w:trHeight w:val="699"/>
        </w:trPr>
        <w:tc>
          <w:tcPr>
            <w:tcW w:w="2005" w:type="dxa"/>
            <w:vMerge/>
          </w:tcPr>
          <w:p w14:paraId="07FDDB12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13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B14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3.2 Explain where to seek specialist environmental management advice </w:t>
            </w:r>
          </w:p>
          <w:p w14:paraId="07FDDB15" w14:textId="77777777" w:rsidR="0056126E" w:rsidRPr="00922995" w:rsidRDefault="0056126E" w:rsidP="007B77B1">
            <w:pPr>
              <w:spacing w:before="72" w:line="292" w:lineRule="exact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16" w14:textId="77777777" w:rsidR="00C37225" w:rsidRPr="00922995" w:rsidRDefault="007C0389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pecialist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environmental management 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advice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is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required to ensure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that 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the use of resources is factual and applicable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determining the environmental impact effects</w:t>
            </w:r>
            <w:r w:rsidR="00902332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the workplace.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FDDB17" w14:textId="77777777" w:rsidR="00C37225" w:rsidRPr="00922995" w:rsidRDefault="002B32CC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The main 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sources for seeking specialist advice</w:t>
            </w:r>
            <w:r w:rsidR="0020696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may have been identified earlier in AC </w:t>
            </w:r>
            <w:r w:rsidR="007C038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1.2</w:t>
            </w:r>
            <w:r w:rsidR="0020696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07FDDB18" w14:textId="77777777" w:rsidR="00A25354" w:rsidRPr="00922995" w:rsidRDefault="00592900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Reference may be obtained from a range of </w:t>
            </w:r>
            <w:r w:rsidR="00A25354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publications offering advice that include:</w:t>
            </w:r>
          </w:p>
          <w:p w14:paraId="07FDDB19" w14:textId="77777777" w:rsidR="00A25354" w:rsidRPr="00922995" w:rsidRDefault="00A25354" w:rsidP="00A2535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Clean Air Act</w:t>
            </w:r>
          </w:p>
          <w:p w14:paraId="07FDDB1A" w14:textId="77777777" w:rsidR="00A25354" w:rsidRPr="00922995" w:rsidRDefault="00A25354" w:rsidP="00A2535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Control of Substances Hazardous to Health (COSHH)</w:t>
            </w:r>
          </w:p>
          <w:p w14:paraId="07FDDB1B" w14:textId="77777777" w:rsidR="00A25354" w:rsidRPr="00922995" w:rsidRDefault="00A25354" w:rsidP="00A2535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Environmental Protection Act</w:t>
            </w:r>
          </w:p>
          <w:p w14:paraId="07FDDB1C" w14:textId="77777777" w:rsidR="00A25354" w:rsidRPr="00922995" w:rsidRDefault="00A25354" w:rsidP="00A2535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Health and Safety at Work Act</w:t>
            </w:r>
          </w:p>
          <w:p w14:paraId="07FDDB1D" w14:textId="77777777" w:rsidR="00A25354" w:rsidRPr="00922995" w:rsidRDefault="00A25354" w:rsidP="00902332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7FDDB1E" w14:textId="77777777" w:rsidR="0056126E" w:rsidRPr="00922995" w:rsidRDefault="003D0439" w:rsidP="00F652AA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dditional 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advice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should be found in-company where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there is 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company policy</w:t>
            </w:r>
            <w:r w:rsidR="00A25354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or code of practice and/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or a nominated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employee responsible for </w:t>
            </w:r>
            <w:r w:rsidR="00A25354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compliance to </w:t>
            </w:r>
            <w:r w:rsidR="002B32C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environmental </w:t>
            </w:r>
            <w:r w:rsidR="00A25354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implications</w:t>
            </w:r>
            <w:r w:rsidR="00C37225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7FDDB1F" w14:textId="77777777" w:rsidR="00F652AA" w:rsidRPr="00922995" w:rsidRDefault="00F652AA" w:rsidP="00F652AA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56126E" w:rsidRPr="00922995" w14:paraId="07FDDB24" w14:textId="77777777" w:rsidTr="00A75ACF">
        <w:trPr>
          <w:trHeight w:val="523"/>
        </w:trPr>
        <w:tc>
          <w:tcPr>
            <w:tcW w:w="2005" w:type="dxa"/>
            <w:vMerge/>
          </w:tcPr>
          <w:p w14:paraId="07FDDB21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22" w14:textId="77777777" w:rsidR="0056126E" w:rsidRPr="00922995" w:rsidRDefault="0056126E" w:rsidP="007B77B1">
            <w:pPr>
              <w:spacing w:before="72" w:line="292" w:lineRule="exact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23" w14:textId="77777777" w:rsidR="0056126E" w:rsidRPr="00922995" w:rsidRDefault="0056126E" w:rsidP="00A25354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spacing w:val="15"/>
                <w:sz w:val="20"/>
                <w:szCs w:val="20"/>
                <w:lang w:val="en-US"/>
              </w:rPr>
            </w:pP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In this criterion the learner is required to demonstrate that </w:t>
            </w:r>
            <w:r w:rsidR="002B32CC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advice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has been </w:t>
            </w:r>
            <w:r w:rsidR="002B32CC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sought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="002B32CC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from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a minimum of two </w:t>
            </w:r>
            <w:r w:rsidR="00A25354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implications for</w:t>
            </w:r>
            <w:r w:rsidR="002B32CC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environmental management</w:t>
            </w:r>
            <w:r w:rsidR="00206968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>.</w:t>
            </w:r>
            <w:r w:rsidR="002B32CC"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922995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US"/>
              </w:rPr>
              <w:t xml:space="preserve"> </w:t>
            </w:r>
          </w:p>
        </w:tc>
      </w:tr>
      <w:tr w:rsidR="0056126E" w:rsidRPr="00922995" w14:paraId="07FDDB2C" w14:textId="77777777" w:rsidTr="00A75ACF">
        <w:trPr>
          <w:trHeight w:val="841"/>
        </w:trPr>
        <w:tc>
          <w:tcPr>
            <w:tcW w:w="2005" w:type="dxa"/>
            <w:vMerge/>
          </w:tcPr>
          <w:p w14:paraId="07FDDB25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26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B27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3.3 Determine the environmental impact of the use different physical resources </w:t>
            </w:r>
          </w:p>
          <w:p w14:paraId="07FDDB28" w14:textId="77777777" w:rsidR="0056126E" w:rsidRPr="00922995" w:rsidRDefault="0056126E" w:rsidP="007B77B1">
            <w:pPr>
              <w:spacing w:line="300" w:lineRule="exact"/>
              <w:ind w:right="28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29" w14:textId="77777777" w:rsidR="00A25354" w:rsidRPr="00922995" w:rsidRDefault="002B32CC" w:rsidP="004567EC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Alternative processes or procedures to determine the environmental impact resolution</w:t>
            </w:r>
            <w:r w:rsidR="0020696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need to be </w:t>
            </w:r>
            <w:r w:rsidR="00456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analysed to ensure that the most effective method be implemented.</w:t>
            </w:r>
          </w:p>
          <w:p w14:paraId="07FDDB2A" w14:textId="77777777" w:rsidR="000569D7" w:rsidRPr="00922995" w:rsidRDefault="004567EC" w:rsidP="000569D7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Options for implementation should be determined through the use of </w:t>
            </w:r>
            <w:r w:rsidR="0059182F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 simple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chart to 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measure and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compare advantages and disadvantages </w:t>
            </w:r>
            <w:r w:rsidR="000569D7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for identifying the </w:t>
            </w:r>
            <w:r w:rsidR="00453B0E" w:rsidRPr="00922995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  <w:t>‘best available technique not entailing excessive cost’ (BATNEEC)</w:t>
            </w:r>
            <w:r w:rsidR="0059290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  <w:r w:rsidR="000569D7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FDDB2B" w14:textId="77777777" w:rsidR="0056126E" w:rsidRPr="00922995" w:rsidRDefault="000569D7" w:rsidP="000569D7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6126E" w:rsidRPr="00922995" w14:paraId="07FDDB30" w14:textId="77777777" w:rsidTr="00A75ACF">
        <w:trPr>
          <w:trHeight w:val="810"/>
        </w:trPr>
        <w:tc>
          <w:tcPr>
            <w:tcW w:w="2005" w:type="dxa"/>
            <w:vMerge/>
          </w:tcPr>
          <w:p w14:paraId="07FDDB2D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2E" w14:textId="77777777" w:rsidR="0056126E" w:rsidRPr="00922995" w:rsidRDefault="0056126E" w:rsidP="007B77B1">
            <w:pPr>
              <w:spacing w:line="300" w:lineRule="exact"/>
              <w:ind w:right="288"/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2F" w14:textId="77777777" w:rsidR="0056126E" w:rsidRPr="00922995" w:rsidRDefault="0056126E" w:rsidP="00453B0E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demonstrate the they have </w:t>
            </w:r>
            <w:r w:rsidR="00A25354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compared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453B0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TWO or more</w:t>
            </w:r>
            <w:r w:rsidR="009778C0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instances where improvements can be made to business processes and/or procedures</w:t>
            </w:r>
            <w:r w:rsidR="00206968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56126E" w:rsidRPr="00922995" w14:paraId="07FDDB38" w14:textId="77777777" w:rsidTr="00A75ACF">
        <w:trPr>
          <w:trHeight w:val="712"/>
        </w:trPr>
        <w:tc>
          <w:tcPr>
            <w:tcW w:w="2005" w:type="dxa"/>
            <w:vMerge/>
          </w:tcPr>
          <w:p w14:paraId="07FDDB31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32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B33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3.4 Develop procedures for the disposal of waste and unwanted resources in a way that minimises the impact on the environment </w:t>
            </w:r>
          </w:p>
          <w:p w14:paraId="07FDDB34" w14:textId="77777777" w:rsidR="0056126E" w:rsidRPr="00922995" w:rsidRDefault="0056126E" w:rsidP="007B77B1">
            <w:pPr>
              <w:spacing w:line="300" w:lineRule="exact"/>
              <w:ind w:right="288"/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35" w14:textId="77777777" w:rsidR="0056126E" w:rsidRPr="00922995" w:rsidRDefault="009778C0" w:rsidP="00A25354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Enviro</w:t>
            </w:r>
            <w:r w:rsidR="0020696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nmental legislation and recognis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ed codes of practice need to be complied with for the safe disposal of waste and unwanted resources.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 legal requirement of organisations is their ‘duty of care’ that requires them to take reasonable steps to look after controlled waste and prevent illegal disposal.</w:t>
            </w:r>
          </w:p>
          <w:p w14:paraId="07FDDB36" w14:textId="77777777" w:rsidR="009778C0" w:rsidRPr="00922995" w:rsidRDefault="009778C0" w:rsidP="00A25354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Procedures described must be compliant with these regulations</w:t>
            </w:r>
            <w:r w:rsidR="00206968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with regard to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safe and secure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storage, transport,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use, collection and disposal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07FDDB37" w14:textId="77777777" w:rsidR="009778C0" w:rsidRPr="00922995" w:rsidRDefault="009778C0" w:rsidP="00A25354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56126E" w:rsidRPr="00922995" w14:paraId="07FDDB3C" w14:textId="77777777" w:rsidTr="00A75ACF">
        <w:trPr>
          <w:trHeight w:val="711"/>
        </w:trPr>
        <w:tc>
          <w:tcPr>
            <w:tcW w:w="2005" w:type="dxa"/>
            <w:vMerge/>
          </w:tcPr>
          <w:p w14:paraId="07FDDB39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3A" w14:textId="77777777" w:rsidR="0056126E" w:rsidRPr="00922995" w:rsidRDefault="0056126E" w:rsidP="007B77B1">
            <w:pPr>
              <w:spacing w:before="72" w:line="289" w:lineRule="exact"/>
              <w:ind w:right="432"/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3B" w14:textId="77777777" w:rsidR="0056126E" w:rsidRPr="00922995" w:rsidRDefault="0056126E" w:rsidP="009778C0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demonstrate that two or more </w:t>
            </w:r>
            <w:r w:rsidR="009778C0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procedures have been developed for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778C0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the safe waste disposal with minimum impact on the environment</w:t>
            </w:r>
            <w:r w:rsidR="00206968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56126E" w:rsidRPr="00922995" w14:paraId="07FDDB44" w14:textId="77777777" w:rsidTr="00A75ACF">
        <w:trPr>
          <w:trHeight w:val="818"/>
        </w:trPr>
        <w:tc>
          <w:tcPr>
            <w:tcW w:w="2005" w:type="dxa"/>
            <w:vMerge/>
          </w:tcPr>
          <w:p w14:paraId="07FDDB3D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3E" w14:textId="77777777" w:rsidR="00A629D0" w:rsidRPr="00922995" w:rsidRDefault="00A629D0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B3F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3.5 Evaluate the effectiveness of </w:t>
            </w:r>
          </w:p>
          <w:p w14:paraId="07FDDB40" w14:textId="77777777" w:rsidR="0056126E" w:rsidRPr="00922995" w:rsidRDefault="0056126E" w:rsidP="0056126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organisational environmental policies and procedures </w:t>
            </w:r>
          </w:p>
          <w:p w14:paraId="07FDDB41" w14:textId="77777777" w:rsidR="0056126E" w:rsidRPr="00922995" w:rsidRDefault="0056126E" w:rsidP="0056126E">
            <w:pPr>
              <w:pStyle w:val="Default"/>
              <w:rPr>
                <w:rFonts w:ascii="Arial" w:eastAsia="Calibri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004" w:type="dxa"/>
          </w:tcPr>
          <w:p w14:paraId="07FDDB42" w14:textId="77777777" w:rsidR="00C33803" w:rsidRPr="00922995" w:rsidRDefault="00C33803" w:rsidP="00C33803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Working practices may, over time, become relaxed due to pressures of meeting demand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customer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/client delivery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timescales, or from the possibility of resource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use,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wear or malfunction. It is necessary that data and information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initially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agreed,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continues to comply with company policy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and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codes of pr</w:t>
            </w:r>
            <w:r w:rsidR="00F85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actice. Measures will need to 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record and evaluate the </w:t>
            </w:r>
            <w:r w:rsidR="00F85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organisation’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s policies or codes of practice</w:t>
            </w:r>
            <w:r w:rsidR="00F857E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determine any </w:t>
            </w:r>
            <w:r w:rsidR="00076B6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differences in 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its</w:t>
            </w:r>
            <w:r w:rsidR="00076B6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operations 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for ensuring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continued 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efficiencies and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effectiveness</w:t>
            </w:r>
            <w:r w:rsidR="00076B6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7FDDB43" w14:textId="77777777" w:rsidR="0056126E" w:rsidRPr="00922995" w:rsidRDefault="00C33803" w:rsidP="00C33803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6126E" w:rsidRPr="00922995" w14:paraId="07FDDB48" w14:textId="77777777" w:rsidTr="00A75ACF">
        <w:trPr>
          <w:trHeight w:val="817"/>
        </w:trPr>
        <w:tc>
          <w:tcPr>
            <w:tcW w:w="2005" w:type="dxa"/>
            <w:vMerge/>
          </w:tcPr>
          <w:p w14:paraId="07FDDB45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46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</w:tcPr>
          <w:p w14:paraId="07FDDB47" w14:textId="77777777" w:rsidR="0056126E" w:rsidRPr="00922995" w:rsidRDefault="00C33803" w:rsidP="00E448CA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compare and evaluate policies and procedures </w:t>
            </w:r>
            <w:r w:rsidR="00E448CA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for the environmental benefits they bring within the organisation.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56126E" w:rsidRPr="00922995" w14:paraId="07FDDB50" w14:textId="77777777" w:rsidTr="00A75ACF">
        <w:trPr>
          <w:trHeight w:val="675"/>
        </w:trPr>
        <w:tc>
          <w:tcPr>
            <w:tcW w:w="2005" w:type="dxa"/>
            <w:vMerge/>
          </w:tcPr>
          <w:p w14:paraId="07FDDB49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 w:val="restart"/>
          </w:tcPr>
          <w:p w14:paraId="07FDDB4A" w14:textId="77777777" w:rsidR="00A629D0" w:rsidRPr="00922995" w:rsidRDefault="00A629D0" w:rsidP="0056126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7FDDB4B" w14:textId="77777777" w:rsidR="0056126E" w:rsidRPr="00922995" w:rsidRDefault="0056126E" w:rsidP="0056126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2995">
              <w:rPr>
                <w:rFonts w:ascii="Arial" w:hAnsi="Arial" w:cs="Arial"/>
                <w:sz w:val="20"/>
                <w:szCs w:val="20"/>
              </w:rPr>
              <w:t xml:space="preserve">3.6 Adhere to organisational policies and procedures, legal and ethical requirements </w:t>
            </w:r>
          </w:p>
          <w:p w14:paraId="07FDDB4C" w14:textId="77777777" w:rsidR="0056126E" w:rsidRPr="00922995" w:rsidRDefault="0056126E" w:rsidP="007B77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</w:tcPr>
          <w:p w14:paraId="07FDDB4D" w14:textId="77777777" w:rsidR="00F652AA" w:rsidRPr="00922995" w:rsidRDefault="00E448CA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From undertaking an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audit of current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environmental </w:t>
            </w:r>
            <w:r w:rsidR="003D0439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practice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evidence of non-compliance to company policy and codes of practice </w:t>
            </w:r>
            <w:r w:rsidR="00453B0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will need to be recorded</w:t>
            </w:r>
            <w:r w:rsidR="00F94F2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7FDDB4E" w14:textId="77777777" w:rsidR="0056126E" w:rsidRPr="00922995" w:rsidRDefault="00F94F2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 short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report to senior management </w:t>
            </w:r>
            <w:r w:rsidR="00A629D0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where non-compliance is identified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will need to be made in order to </w:t>
            </w:r>
            <w:r w:rsidR="009179DE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>authoris</w:t>
            </w:r>
            <w:r w:rsidR="00C5751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 and </w:t>
            </w:r>
            <w:r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instigate action for </w:t>
            </w:r>
            <w:r w:rsidR="00C5751C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timely </w:t>
            </w:r>
            <w:r w:rsidR="00E448CA" w:rsidRPr="0092299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resolution. </w:t>
            </w:r>
          </w:p>
          <w:p w14:paraId="07FDDB4F" w14:textId="77777777" w:rsidR="00E448CA" w:rsidRPr="00922995" w:rsidRDefault="00E448CA" w:rsidP="003D043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56126E" w:rsidRPr="00922995" w14:paraId="07FDDB54" w14:textId="77777777" w:rsidTr="00A75ACF">
        <w:trPr>
          <w:trHeight w:val="675"/>
        </w:trPr>
        <w:tc>
          <w:tcPr>
            <w:tcW w:w="2005" w:type="dxa"/>
            <w:vMerge/>
          </w:tcPr>
          <w:p w14:paraId="07FDDB51" w14:textId="77777777" w:rsidR="0056126E" w:rsidRPr="00922995" w:rsidRDefault="0056126E" w:rsidP="007B77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</w:tcPr>
          <w:p w14:paraId="07FDDB52" w14:textId="77777777" w:rsidR="0056126E" w:rsidRPr="00922995" w:rsidRDefault="0056126E" w:rsidP="0056126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</w:tcPr>
          <w:p w14:paraId="07FDDB53" w14:textId="77777777" w:rsidR="0056126E" w:rsidRPr="00922995" w:rsidRDefault="00C33803" w:rsidP="009F3A1D">
            <w:pPr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In this criterion the learner is required to </w:t>
            </w:r>
            <w:r w:rsidR="00076B6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record</w:t>
            </w:r>
            <w:r w:rsidR="00F652AA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,</w:t>
            </w:r>
            <w:r w:rsidR="00076B6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at regular intervals</w:t>
            </w:r>
            <w:r w:rsidR="00F652AA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,</w:t>
            </w:r>
            <w:r w:rsidR="00076B6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to show </w:t>
            </w:r>
            <w:r w:rsidR="00F652AA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ongoing </w:t>
            </w:r>
            <w:r w:rsidR="00076B6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compliance with</w:t>
            </w:r>
            <w:r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076B6E" w:rsidRPr="00922995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the organisation’s </w:t>
            </w:r>
            <w:r w:rsidR="00076B6E" w:rsidRPr="00922995">
              <w:rPr>
                <w:rFonts w:ascii="Arial" w:hAnsi="Arial" w:cs="Arial"/>
                <w:i/>
                <w:sz w:val="20"/>
                <w:szCs w:val="20"/>
              </w:rPr>
              <w:t>policies and procedures, legal and ethical requirements.</w:t>
            </w:r>
            <w:r w:rsidR="009F3A1D" w:rsidRPr="00922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751C" w:rsidRPr="00922995">
              <w:rPr>
                <w:rFonts w:ascii="Arial" w:hAnsi="Arial" w:cs="Arial"/>
                <w:i/>
                <w:sz w:val="20"/>
                <w:szCs w:val="20"/>
              </w:rPr>
              <w:t>Areas of non-comp</w:t>
            </w:r>
            <w:r w:rsidR="009F3A1D" w:rsidRPr="00922995">
              <w:rPr>
                <w:rFonts w:ascii="Arial" w:hAnsi="Arial" w:cs="Arial"/>
                <w:i/>
                <w:sz w:val="20"/>
                <w:szCs w:val="20"/>
              </w:rPr>
              <w:t>liance will need to be reported</w:t>
            </w:r>
            <w:r w:rsidR="00C5751C" w:rsidRPr="00922995">
              <w:rPr>
                <w:rFonts w:ascii="Arial" w:hAnsi="Arial" w:cs="Arial"/>
                <w:i/>
                <w:sz w:val="20"/>
                <w:szCs w:val="20"/>
              </w:rPr>
              <w:t xml:space="preserve"> to line management.</w:t>
            </w:r>
          </w:p>
        </w:tc>
      </w:tr>
    </w:tbl>
    <w:p w14:paraId="07FDDB55" w14:textId="77777777" w:rsidR="00F264C8" w:rsidRPr="00922995" w:rsidRDefault="00F264C8">
      <w:pPr>
        <w:rPr>
          <w:rFonts w:ascii="Arial" w:hAnsi="Arial" w:cs="Arial"/>
          <w:sz w:val="20"/>
          <w:szCs w:val="20"/>
        </w:rPr>
      </w:pPr>
    </w:p>
    <w:sectPr w:rsidR="00F264C8" w:rsidRPr="00922995" w:rsidSect="002D488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A4FE" w14:textId="77777777" w:rsidR="003512F4" w:rsidRDefault="003512F4" w:rsidP="003512F4">
      <w:r>
        <w:separator/>
      </w:r>
    </w:p>
  </w:endnote>
  <w:endnote w:type="continuationSeparator" w:id="0">
    <w:p w14:paraId="5EB1FB72" w14:textId="77777777" w:rsidR="003512F4" w:rsidRDefault="003512F4" w:rsidP="003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CAC0F" w14:textId="77777777" w:rsidR="003512F4" w:rsidRDefault="003512F4" w:rsidP="003512F4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Awarded by City &amp; Guilds </w:t>
    </w:r>
  </w:p>
  <w:p w14:paraId="5F71B6B4" w14:textId="77777777" w:rsidR="003512F4" w:rsidRDefault="003512F4" w:rsidP="003512F4">
    <w:pPr>
      <w:tabs>
        <w:tab w:val="left" w:pos="6930"/>
      </w:tabs>
      <w:rPr>
        <w:rFonts w:ascii="Arial" w:hAnsi="Arial" w:cs="Arial"/>
        <w:sz w:val="20"/>
        <w:lang w:val="en-US"/>
      </w:rPr>
    </w:pPr>
    <w:r w:rsidRPr="00516AB4">
      <w:rPr>
        <w:rFonts w:ascii="Arial" w:hAnsi="Arial" w:cs="Arial"/>
        <w:sz w:val="20"/>
      </w:rPr>
      <w:t>M&amp;L 35 Manage the impact of work activities on the environment</w:t>
    </w:r>
    <w:r>
      <w:rPr>
        <w:rFonts w:ascii="Arial" w:hAnsi="Arial" w:cs="Arial"/>
        <w:sz w:val="20"/>
      </w:rPr>
      <w:tab/>
    </w:r>
  </w:p>
  <w:p w14:paraId="287B0FF4" w14:textId="77777777" w:rsidR="003512F4" w:rsidRPr="003718EA" w:rsidRDefault="003512F4" w:rsidP="003512F4">
    <w:pPr>
      <w:pStyle w:val="Footer"/>
      <w:rPr>
        <w:b/>
      </w:rPr>
    </w:pPr>
    <w:r>
      <w:rPr>
        <w:rFonts w:ascii="Arial" w:hAnsi="Arial" w:cs="Arial"/>
        <w:sz w:val="20"/>
      </w:rPr>
      <w:t xml:space="preserve">Version 1.0 (March 2017)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3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21D76" w14:textId="77777777" w:rsidR="003512F4" w:rsidRDefault="003512F4" w:rsidP="003512F4">
      <w:r>
        <w:separator/>
      </w:r>
    </w:p>
  </w:footnote>
  <w:footnote w:type="continuationSeparator" w:id="0">
    <w:p w14:paraId="7C9FEF28" w14:textId="77777777" w:rsidR="003512F4" w:rsidRDefault="003512F4" w:rsidP="0035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1D701" w14:textId="738B0157" w:rsidR="003512F4" w:rsidRDefault="003512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BF6922" wp14:editId="595016DE">
          <wp:simplePos x="0" y="0"/>
          <wp:positionH relativeFrom="column">
            <wp:posOffset>7484012</wp:posOffset>
          </wp:positionH>
          <wp:positionV relativeFrom="paragraph">
            <wp:posOffset>-422568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660"/>
    <w:multiLevelType w:val="hybridMultilevel"/>
    <w:tmpl w:val="2182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8A1"/>
    <w:multiLevelType w:val="hybridMultilevel"/>
    <w:tmpl w:val="5B5A1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3992"/>
    <w:multiLevelType w:val="hybridMultilevel"/>
    <w:tmpl w:val="9AEE1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6AB3"/>
    <w:multiLevelType w:val="hybridMultilevel"/>
    <w:tmpl w:val="57A49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B7F"/>
    <w:multiLevelType w:val="hybridMultilevel"/>
    <w:tmpl w:val="0256D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6992"/>
    <w:multiLevelType w:val="hybridMultilevel"/>
    <w:tmpl w:val="B1E8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1CA8"/>
    <w:multiLevelType w:val="hybridMultilevel"/>
    <w:tmpl w:val="241C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E7226"/>
    <w:multiLevelType w:val="hybridMultilevel"/>
    <w:tmpl w:val="CE84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236EE"/>
    <w:multiLevelType w:val="hybridMultilevel"/>
    <w:tmpl w:val="22D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A2AB6"/>
    <w:multiLevelType w:val="hybridMultilevel"/>
    <w:tmpl w:val="8F367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A0828"/>
    <w:multiLevelType w:val="hybridMultilevel"/>
    <w:tmpl w:val="38D0E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B1"/>
    <w:rsid w:val="000569D7"/>
    <w:rsid w:val="00076B6E"/>
    <w:rsid w:val="001A7ED2"/>
    <w:rsid w:val="00206968"/>
    <w:rsid w:val="002074A6"/>
    <w:rsid w:val="002152D5"/>
    <w:rsid w:val="0022571C"/>
    <w:rsid w:val="002B2230"/>
    <w:rsid w:val="002B32CC"/>
    <w:rsid w:val="002D4889"/>
    <w:rsid w:val="002F2344"/>
    <w:rsid w:val="0030480A"/>
    <w:rsid w:val="003512F4"/>
    <w:rsid w:val="003A33B6"/>
    <w:rsid w:val="003C01F0"/>
    <w:rsid w:val="003D0439"/>
    <w:rsid w:val="003F7E0C"/>
    <w:rsid w:val="00403712"/>
    <w:rsid w:val="00434B01"/>
    <w:rsid w:val="00453B0E"/>
    <w:rsid w:val="004567EC"/>
    <w:rsid w:val="00457207"/>
    <w:rsid w:val="004A778D"/>
    <w:rsid w:val="004B0F7E"/>
    <w:rsid w:val="00533AE2"/>
    <w:rsid w:val="0056126E"/>
    <w:rsid w:val="00574185"/>
    <w:rsid w:val="0059182F"/>
    <w:rsid w:val="00592900"/>
    <w:rsid w:val="006324B2"/>
    <w:rsid w:val="006B24D0"/>
    <w:rsid w:val="006F00F0"/>
    <w:rsid w:val="007B77B1"/>
    <w:rsid w:val="007C0389"/>
    <w:rsid w:val="00902332"/>
    <w:rsid w:val="00902353"/>
    <w:rsid w:val="009179DE"/>
    <w:rsid w:val="00922995"/>
    <w:rsid w:val="00953176"/>
    <w:rsid w:val="009778C0"/>
    <w:rsid w:val="009F3A1D"/>
    <w:rsid w:val="00A072BE"/>
    <w:rsid w:val="00A25354"/>
    <w:rsid w:val="00A629D0"/>
    <w:rsid w:val="00A75ACF"/>
    <w:rsid w:val="00AE5B7C"/>
    <w:rsid w:val="00BD0191"/>
    <w:rsid w:val="00BF2781"/>
    <w:rsid w:val="00C15278"/>
    <w:rsid w:val="00C33803"/>
    <w:rsid w:val="00C37225"/>
    <w:rsid w:val="00C5751C"/>
    <w:rsid w:val="00CB4AC4"/>
    <w:rsid w:val="00CD6F1C"/>
    <w:rsid w:val="00D835AB"/>
    <w:rsid w:val="00DC0DBF"/>
    <w:rsid w:val="00E448CA"/>
    <w:rsid w:val="00E90670"/>
    <w:rsid w:val="00F264C8"/>
    <w:rsid w:val="00F652AA"/>
    <w:rsid w:val="00F857EC"/>
    <w:rsid w:val="00F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DA7D"/>
  <w15:docId w15:val="{12AA0CAA-5919-4FD6-9582-8EADA7DE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B77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7B1"/>
    <w:pPr>
      <w:spacing w:after="160" w:line="259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B1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77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26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0A"/>
    <w:pPr>
      <w:spacing w:after="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0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1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2F4"/>
  </w:style>
  <w:style w:type="paragraph" w:styleId="Footer">
    <w:name w:val="footer"/>
    <w:basedOn w:val="Normal"/>
    <w:link w:val="FooterChar"/>
    <w:uiPriority w:val="99"/>
    <w:unhideWhenUsed/>
    <w:rsid w:val="00351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1399</Value>
      <Value>1797</Value>
      <Value>1002</Value>
      <Value>1001</Value>
      <Value>1000</Value>
      <Value>999</Value>
      <Value>998</Value>
      <Value>997</Value>
      <Value>1366</Value>
      <Value>993</Value>
      <Value>992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8621-409</TermName>
          <TermId xmlns="http://schemas.microsoft.com/office/infopath/2007/PartnerControls">49f359f4-b371-46c7-8379-dc31b86bc4dc</TermId>
        </TermInfo>
        <TermInfo xmlns="http://schemas.microsoft.com/office/infopath/2007/PartnerControls">
          <TermName xmlns="http://schemas.microsoft.com/office/infopath/2007/PartnerControls">8622-409</TermName>
          <TermId xmlns="http://schemas.microsoft.com/office/infopath/2007/PartnerControls">5339fd4d-322f-4613-a354-34d4e9ae7001</TermId>
        </TermInfo>
        <TermInfo xmlns="http://schemas.microsoft.com/office/infopath/2007/PartnerControls">
          <TermName xmlns="http://schemas.microsoft.com/office/infopath/2007/PartnerControls">8623-409</TermName>
          <TermId xmlns="http://schemas.microsoft.com/office/infopath/2007/PartnerControls">bd870f30-d3b1-4469-9d45-6908a968fbc5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5645862D-6AE0-4290-9EFA-87BD75FA6299}"/>
</file>

<file path=customXml/itemProps2.xml><?xml version="1.0" encoding="utf-8"?>
<ds:datastoreItem xmlns:ds="http://schemas.openxmlformats.org/officeDocument/2006/customXml" ds:itemID="{59A07C94-3A56-4C0A-870E-EF24B5D64058}"/>
</file>

<file path=customXml/itemProps3.xml><?xml version="1.0" encoding="utf-8"?>
<ds:datastoreItem xmlns:ds="http://schemas.openxmlformats.org/officeDocument/2006/customXml" ds:itemID="{6922B428-D8A6-4812-BC01-3C82E5916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the impact of work activities on the environment (ML35)</dc:title>
  <dc:creator>Phil</dc:creator>
  <cp:lastModifiedBy>Jurgita Baleviciute</cp:lastModifiedBy>
  <cp:revision>5</cp:revision>
  <dcterms:created xsi:type="dcterms:W3CDTF">2014-08-15T09:42:00Z</dcterms:created>
  <dcterms:modified xsi:type="dcterms:W3CDTF">2017-03-10T13:54:00Z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1366;#8621-409|49f359f4-b371-46c7-8379-dc31b86bc4dc;#1399;#8622-409|5339fd4d-322f-4613-a354-34d4e9ae7001;#1797;#8623-409|bd870f30-d3b1-4469-9d45-6908a968fbc5</vt:lpwstr>
  </property>
  <property fmtid="{D5CDD505-2E9C-101B-9397-08002B2CF9AE}" pid="4" name="Family Code">
    <vt:lpwstr>991;#8621|0919e5d9-18fa-4a06-88d4-e8a2e38acd9a;#992;#8622|5fa3b72e-ae13-4e50-9511-17af1e1d6aea;#993;#8623|b53d073e-d040-484f-8e57-62b9b837fdd3</vt:lpwstr>
  </property>
  <property fmtid="{D5CDD505-2E9C-101B-9397-08002B2CF9AE}" pid="5" name="PoS">
    <vt:lpwstr>997;#8621-31|8de2e53a-d037-4117-9560-937eebe43732;#998;#8621-33|b4c99a25-2034-486d-9208-ad1309afa1f1;#999;#8622-41|d21f84b9-bfe2-4f27-ac94-0f942e19ff84;#1000;#8622-43|de845b68-fadf-48c9-aac7-3cddce4582cb;#1001;#8623-41|4f6982cf-f3a7-4422-a0a6-f123369cfe95;#1002;#8623-43|3e01f990-9d37-4ba0-a995-044fadb5ce23</vt:lpwstr>
  </property>
</Properties>
</file>