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5137"/>
      </w:tblGrid>
      <w:tr w:rsidR="000D5D64" w:rsidRPr="004B5359" w14:paraId="4C34EEE3" w14:textId="77777777" w:rsidTr="00C37000">
        <w:tc>
          <w:tcPr>
            <w:tcW w:w="2808" w:type="dxa"/>
            <w:gridSpan w:val="2"/>
            <w:shd w:val="clear" w:color="auto" w:fill="99CCFF"/>
          </w:tcPr>
          <w:p w14:paraId="4C34EEE1" w14:textId="77777777" w:rsidR="000D5D64" w:rsidRDefault="000D5D64" w:rsidP="008512D0">
            <w:pPr>
              <w:pStyle w:val="TableColumnHeader"/>
              <w:spacing w:after="120"/>
              <w:jc w:val="both"/>
            </w:pPr>
            <w:r>
              <w:t>Title:</w:t>
            </w:r>
          </w:p>
        </w:tc>
        <w:tc>
          <w:tcPr>
            <w:tcW w:w="6973" w:type="dxa"/>
            <w:gridSpan w:val="3"/>
          </w:tcPr>
          <w:p w14:paraId="4C34EEE2" w14:textId="77777777" w:rsidR="000D5D64" w:rsidRPr="00F125A6" w:rsidRDefault="000D5D64" w:rsidP="008512D0">
            <w:pPr>
              <w:spacing w:beforeLines="80" w:before="192" w:afterLines="80" w:after="192"/>
              <w:jc w:val="left"/>
              <w:rPr>
                <w:b/>
                <w:bCs/>
                <w:color w:val="FF0000"/>
                <w:sz w:val="20"/>
                <w:szCs w:val="20"/>
              </w:rPr>
            </w:pPr>
            <w:r>
              <w:rPr>
                <w:b/>
                <w:bCs/>
                <w:sz w:val="20"/>
                <w:szCs w:val="20"/>
              </w:rPr>
              <w:t>Understanding utility services and energy efficiency in the workplace</w:t>
            </w:r>
          </w:p>
        </w:tc>
      </w:tr>
      <w:tr w:rsidR="000D5D64" w14:paraId="4C34EEE6" w14:textId="77777777" w:rsidTr="00C37000">
        <w:tc>
          <w:tcPr>
            <w:tcW w:w="2808" w:type="dxa"/>
            <w:gridSpan w:val="2"/>
            <w:shd w:val="clear" w:color="auto" w:fill="99CCFF"/>
          </w:tcPr>
          <w:p w14:paraId="4C34EEE4" w14:textId="77777777" w:rsidR="000D5D64" w:rsidRDefault="000D5D64" w:rsidP="008512D0">
            <w:pPr>
              <w:pStyle w:val="TableColumnHeader"/>
              <w:spacing w:after="120"/>
              <w:jc w:val="both"/>
            </w:pPr>
            <w:r>
              <w:t>Level:</w:t>
            </w:r>
          </w:p>
        </w:tc>
        <w:tc>
          <w:tcPr>
            <w:tcW w:w="6973" w:type="dxa"/>
            <w:gridSpan w:val="3"/>
          </w:tcPr>
          <w:p w14:paraId="4C34EEE5" w14:textId="77777777" w:rsidR="000D5D64" w:rsidRPr="00C1156C" w:rsidRDefault="000D5D64" w:rsidP="008512D0">
            <w:pPr>
              <w:pStyle w:val="TableText"/>
              <w:jc w:val="both"/>
              <w:rPr>
                <w:b/>
                <w:bCs/>
              </w:rPr>
            </w:pPr>
            <w:r w:rsidRPr="00C1156C">
              <w:rPr>
                <w:b/>
                <w:bCs/>
              </w:rPr>
              <w:t>3</w:t>
            </w:r>
          </w:p>
        </w:tc>
      </w:tr>
      <w:tr w:rsidR="000D5D64" w14:paraId="4C34EEE9" w14:textId="77777777" w:rsidTr="00C37000">
        <w:tc>
          <w:tcPr>
            <w:tcW w:w="2808" w:type="dxa"/>
            <w:gridSpan w:val="2"/>
            <w:shd w:val="clear" w:color="auto" w:fill="99CCFF"/>
          </w:tcPr>
          <w:p w14:paraId="4C34EEE7" w14:textId="77777777" w:rsidR="000D5D64" w:rsidRDefault="000D5D64" w:rsidP="008512D0">
            <w:pPr>
              <w:pStyle w:val="TableColumnHeader"/>
              <w:spacing w:after="120"/>
              <w:jc w:val="both"/>
            </w:pPr>
            <w:r>
              <w:t>Credit value:</w:t>
            </w:r>
          </w:p>
        </w:tc>
        <w:tc>
          <w:tcPr>
            <w:tcW w:w="6973" w:type="dxa"/>
            <w:gridSpan w:val="3"/>
          </w:tcPr>
          <w:p w14:paraId="4C34EEE8" w14:textId="77777777" w:rsidR="000D5D64" w:rsidRPr="009423C2" w:rsidRDefault="009423C2" w:rsidP="008512D0">
            <w:pPr>
              <w:pStyle w:val="TableText"/>
              <w:jc w:val="both"/>
              <w:rPr>
                <w:b/>
                <w:bCs/>
              </w:rPr>
            </w:pPr>
            <w:r w:rsidRPr="009423C2">
              <w:rPr>
                <w:b/>
                <w:bCs/>
              </w:rPr>
              <w:t>2</w:t>
            </w:r>
          </w:p>
        </w:tc>
      </w:tr>
      <w:tr w:rsidR="000D5D64" w14:paraId="4C34EEEC" w14:textId="77777777" w:rsidTr="00C37000">
        <w:tc>
          <w:tcPr>
            <w:tcW w:w="2808" w:type="dxa"/>
            <w:gridSpan w:val="2"/>
            <w:shd w:val="clear" w:color="auto" w:fill="99CCFF"/>
          </w:tcPr>
          <w:p w14:paraId="4C34EEEA" w14:textId="77777777" w:rsidR="000D5D64" w:rsidRDefault="000D5D64" w:rsidP="008512D0">
            <w:pPr>
              <w:pStyle w:val="TableColumnHeader"/>
              <w:spacing w:after="120"/>
              <w:jc w:val="both"/>
            </w:pPr>
            <w:r>
              <w:t>Unit guided learning hours</w:t>
            </w:r>
          </w:p>
        </w:tc>
        <w:tc>
          <w:tcPr>
            <w:tcW w:w="6973" w:type="dxa"/>
            <w:gridSpan w:val="3"/>
          </w:tcPr>
          <w:p w14:paraId="4C34EEEB" w14:textId="77777777" w:rsidR="000D5D64" w:rsidRPr="009423C2" w:rsidRDefault="009423C2" w:rsidP="008512D0">
            <w:pPr>
              <w:pStyle w:val="TableText"/>
              <w:jc w:val="both"/>
              <w:rPr>
                <w:b/>
                <w:bCs/>
              </w:rPr>
            </w:pPr>
            <w:r w:rsidRPr="009423C2">
              <w:rPr>
                <w:b/>
                <w:bCs/>
              </w:rPr>
              <w:t>7</w:t>
            </w:r>
          </w:p>
        </w:tc>
      </w:tr>
      <w:tr w:rsidR="000D5D64" w14:paraId="4C34EEEF" w14:textId="77777777" w:rsidTr="00C37000">
        <w:tc>
          <w:tcPr>
            <w:tcW w:w="4068" w:type="dxa"/>
            <w:gridSpan w:val="3"/>
            <w:shd w:val="clear" w:color="auto" w:fill="99CCFF"/>
          </w:tcPr>
          <w:p w14:paraId="4C34EEED" w14:textId="77777777" w:rsidR="000D5D64" w:rsidRDefault="000D5D64" w:rsidP="008512D0">
            <w:pPr>
              <w:pStyle w:val="TableColumnHeader"/>
              <w:spacing w:after="0"/>
              <w:rPr>
                <w:b w:val="0"/>
                <w:bCs w:val="0"/>
                <w:i/>
                <w:iCs/>
              </w:rPr>
            </w:pPr>
            <w:r>
              <w:t xml:space="preserve">Learning outcomes (the learner </w:t>
            </w:r>
            <w:r w:rsidRPr="003A1BE6">
              <w:rPr>
                <w:u w:val="single"/>
              </w:rPr>
              <w:t>will</w:t>
            </w:r>
            <w:r>
              <w:t>)</w:t>
            </w:r>
          </w:p>
        </w:tc>
        <w:tc>
          <w:tcPr>
            <w:tcW w:w="5713" w:type="dxa"/>
            <w:gridSpan w:val="2"/>
            <w:shd w:val="clear" w:color="auto" w:fill="99CCFF"/>
          </w:tcPr>
          <w:p w14:paraId="4C34EEEE" w14:textId="77777777" w:rsidR="000D5D64" w:rsidRDefault="000D5D64" w:rsidP="008512D0">
            <w:pPr>
              <w:pStyle w:val="TableColumnHeader"/>
              <w:spacing w:after="0"/>
              <w:rPr>
                <w:i/>
                <w:iCs/>
              </w:rPr>
            </w:pPr>
            <w:r>
              <w:t xml:space="preserve">Assessment criteria (the learner </w:t>
            </w:r>
            <w:r w:rsidRPr="00DD45A9">
              <w:rPr>
                <w:u w:val="single"/>
              </w:rPr>
              <w:t>can</w:t>
            </w:r>
            <w:r>
              <w:t>)</w:t>
            </w:r>
          </w:p>
        </w:tc>
      </w:tr>
      <w:tr w:rsidR="000D5D64" w:rsidRPr="00C866A4" w14:paraId="4C34EEFC" w14:textId="77777777" w:rsidTr="00C37000">
        <w:tc>
          <w:tcPr>
            <w:tcW w:w="4068" w:type="dxa"/>
            <w:gridSpan w:val="3"/>
          </w:tcPr>
          <w:p w14:paraId="4C34EEF0" w14:textId="77777777" w:rsidR="000D5D64" w:rsidRPr="00E3763B" w:rsidRDefault="000D5D64" w:rsidP="008512D0">
            <w:pPr>
              <w:jc w:val="left"/>
              <w:rPr>
                <w:sz w:val="20"/>
                <w:szCs w:val="20"/>
              </w:rPr>
            </w:pPr>
          </w:p>
          <w:p w14:paraId="4C34EEF1" w14:textId="77777777" w:rsidR="000D5D64" w:rsidRDefault="000D5D64" w:rsidP="008512D0">
            <w:pPr>
              <w:numPr>
                <w:ilvl w:val="0"/>
                <w:numId w:val="2"/>
              </w:numPr>
              <w:jc w:val="left"/>
              <w:rPr>
                <w:sz w:val="20"/>
                <w:szCs w:val="20"/>
              </w:rPr>
            </w:pPr>
            <w:r>
              <w:rPr>
                <w:sz w:val="20"/>
                <w:szCs w:val="20"/>
              </w:rPr>
              <w:t>Understand own organisation’s utility services requirements</w:t>
            </w:r>
          </w:p>
          <w:p w14:paraId="4C34EEF2" w14:textId="77777777" w:rsidR="000D5D64" w:rsidRPr="00E3763B" w:rsidRDefault="000D5D64" w:rsidP="008512D0">
            <w:pPr>
              <w:jc w:val="left"/>
              <w:rPr>
                <w:sz w:val="20"/>
                <w:szCs w:val="20"/>
              </w:rPr>
            </w:pPr>
          </w:p>
        </w:tc>
        <w:tc>
          <w:tcPr>
            <w:tcW w:w="576" w:type="dxa"/>
            <w:tcBorders>
              <w:right w:val="nil"/>
            </w:tcBorders>
          </w:tcPr>
          <w:p w14:paraId="4C34EEF3" w14:textId="77777777" w:rsidR="000D5D64" w:rsidRDefault="000D5D64" w:rsidP="008512D0">
            <w:pPr>
              <w:jc w:val="center"/>
              <w:rPr>
                <w:sz w:val="20"/>
                <w:szCs w:val="20"/>
              </w:rPr>
            </w:pPr>
          </w:p>
          <w:p w14:paraId="4C34EEF4" w14:textId="77777777" w:rsidR="000D5D64" w:rsidRDefault="000D5D64" w:rsidP="008512D0">
            <w:pPr>
              <w:jc w:val="center"/>
              <w:rPr>
                <w:sz w:val="20"/>
                <w:szCs w:val="20"/>
              </w:rPr>
            </w:pPr>
            <w:r>
              <w:rPr>
                <w:sz w:val="20"/>
                <w:szCs w:val="20"/>
              </w:rPr>
              <w:t>1.1</w:t>
            </w:r>
          </w:p>
          <w:p w14:paraId="4C34EEF5" w14:textId="77777777" w:rsidR="000D5D64" w:rsidRDefault="000D5D64" w:rsidP="008512D0">
            <w:pPr>
              <w:jc w:val="center"/>
              <w:rPr>
                <w:sz w:val="20"/>
                <w:szCs w:val="20"/>
              </w:rPr>
            </w:pPr>
          </w:p>
          <w:p w14:paraId="4C34EEF6" w14:textId="77777777" w:rsidR="000D5D64" w:rsidRDefault="000D5D64" w:rsidP="008512D0">
            <w:pPr>
              <w:jc w:val="center"/>
              <w:rPr>
                <w:sz w:val="20"/>
                <w:szCs w:val="20"/>
              </w:rPr>
            </w:pPr>
          </w:p>
          <w:p w14:paraId="4C34EEF7" w14:textId="77777777" w:rsidR="000D5D64" w:rsidRPr="00E3763B" w:rsidRDefault="000D5D64" w:rsidP="008512D0">
            <w:pPr>
              <w:jc w:val="center"/>
              <w:rPr>
                <w:sz w:val="20"/>
                <w:szCs w:val="20"/>
              </w:rPr>
            </w:pPr>
            <w:r>
              <w:rPr>
                <w:sz w:val="20"/>
                <w:szCs w:val="20"/>
              </w:rPr>
              <w:t>1.2</w:t>
            </w:r>
          </w:p>
        </w:tc>
        <w:tc>
          <w:tcPr>
            <w:tcW w:w="5137" w:type="dxa"/>
            <w:tcBorders>
              <w:left w:val="nil"/>
            </w:tcBorders>
          </w:tcPr>
          <w:p w14:paraId="4C34EEF8" w14:textId="77777777" w:rsidR="000D5D64" w:rsidRDefault="000D5D64" w:rsidP="008512D0">
            <w:pPr>
              <w:pStyle w:val="Header"/>
              <w:jc w:val="left"/>
              <w:rPr>
                <w:sz w:val="20"/>
                <w:szCs w:val="20"/>
              </w:rPr>
            </w:pPr>
          </w:p>
          <w:p w14:paraId="4C34EEF9" w14:textId="77777777" w:rsidR="00286530" w:rsidRPr="004D112F" w:rsidRDefault="00286530" w:rsidP="00286530">
            <w:pPr>
              <w:pStyle w:val="Header"/>
              <w:jc w:val="left"/>
              <w:rPr>
                <w:sz w:val="20"/>
                <w:szCs w:val="20"/>
              </w:rPr>
            </w:pPr>
            <w:r w:rsidRPr="004D112F">
              <w:rPr>
                <w:sz w:val="20"/>
                <w:szCs w:val="20"/>
              </w:rPr>
              <w:t xml:space="preserve">Identify </w:t>
            </w:r>
            <w:bookmarkStart w:id="0" w:name="OLE_LINK1"/>
            <w:bookmarkStart w:id="1" w:name="OLE_LINK2"/>
            <w:r w:rsidRPr="004D112F">
              <w:rPr>
                <w:sz w:val="20"/>
                <w:szCs w:val="20"/>
              </w:rPr>
              <w:t>what utility services are required by own organisation and examine what are actually provided</w:t>
            </w:r>
            <w:bookmarkEnd w:id="0"/>
            <w:bookmarkEnd w:id="1"/>
          </w:p>
          <w:p w14:paraId="76B71BC9" w14:textId="77777777" w:rsidR="00C37000" w:rsidRDefault="00C37000" w:rsidP="008512D0">
            <w:pPr>
              <w:pStyle w:val="Header"/>
              <w:jc w:val="left"/>
              <w:rPr>
                <w:sz w:val="20"/>
                <w:szCs w:val="20"/>
              </w:rPr>
            </w:pPr>
          </w:p>
          <w:p w14:paraId="4C34EEFA" w14:textId="77777777" w:rsidR="000D5D64" w:rsidRDefault="000D5D64" w:rsidP="008512D0">
            <w:pPr>
              <w:pStyle w:val="Header"/>
              <w:jc w:val="left"/>
              <w:rPr>
                <w:sz w:val="20"/>
                <w:szCs w:val="20"/>
              </w:rPr>
            </w:pPr>
            <w:r w:rsidRPr="00EA731B">
              <w:rPr>
                <w:sz w:val="20"/>
                <w:szCs w:val="20"/>
              </w:rPr>
              <w:t>Explain the opt</w:t>
            </w:r>
            <w:r>
              <w:rPr>
                <w:sz w:val="20"/>
                <w:szCs w:val="20"/>
              </w:rPr>
              <w:t>ions of acquiring utility services to bridge the gap between own organisation’s requirements and actual provision</w:t>
            </w:r>
          </w:p>
          <w:p w14:paraId="4C34EEFB" w14:textId="77777777" w:rsidR="000D5D64" w:rsidRPr="00E3763B" w:rsidRDefault="000D5D64" w:rsidP="008512D0">
            <w:pPr>
              <w:pStyle w:val="Header"/>
              <w:jc w:val="left"/>
              <w:rPr>
                <w:sz w:val="20"/>
                <w:szCs w:val="20"/>
              </w:rPr>
            </w:pPr>
          </w:p>
        </w:tc>
      </w:tr>
      <w:tr w:rsidR="000D5D64" w:rsidRPr="00C866A4" w14:paraId="4C34EF0D" w14:textId="77777777" w:rsidTr="00C37000">
        <w:tc>
          <w:tcPr>
            <w:tcW w:w="4068" w:type="dxa"/>
            <w:gridSpan w:val="3"/>
          </w:tcPr>
          <w:p w14:paraId="4C34EEFD" w14:textId="77777777" w:rsidR="000D5D64" w:rsidRPr="00E3763B" w:rsidRDefault="000D5D64" w:rsidP="008512D0">
            <w:pPr>
              <w:jc w:val="left"/>
              <w:rPr>
                <w:sz w:val="20"/>
                <w:szCs w:val="20"/>
              </w:rPr>
            </w:pPr>
          </w:p>
          <w:p w14:paraId="4C34EEFE" w14:textId="77777777" w:rsidR="000D5D64" w:rsidRDefault="000D5D64" w:rsidP="008512D0">
            <w:pPr>
              <w:numPr>
                <w:ilvl w:val="0"/>
                <w:numId w:val="2"/>
              </w:numPr>
              <w:jc w:val="left"/>
              <w:rPr>
                <w:sz w:val="20"/>
                <w:szCs w:val="20"/>
              </w:rPr>
            </w:pPr>
            <w:r>
              <w:rPr>
                <w:sz w:val="20"/>
                <w:szCs w:val="20"/>
              </w:rPr>
              <w:t>Understand the efficiency of own organisation’s energy consumption</w:t>
            </w:r>
          </w:p>
          <w:p w14:paraId="4C34EEFF" w14:textId="77777777" w:rsidR="000D5D64" w:rsidRPr="00E3763B" w:rsidRDefault="000D5D64" w:rsidP="008512D0">
            <w:pPr>
              <w:jc w:val="left"/>
              <w:rPr>
                <w:sz w:val="20"/>
                <w:szCs w:val="20"/>
              </w:rPr>
            </w:pPr>
          </w:p>
        </w:tc>
        <w:tc>
          <w:tcPr>
            <w:tcW w:w="576" w:type="dxa"/>
            <w:tcBorders>
              <w:right w:val="nil"/>
            </w:tcBorders>
          </w:tcPr>
          <w:p w14:paraId="4C34EF00" w14:textId="77777777" w:rsidR="000D5D64" w:rsidRDefault="000D5D64" w:rsidP="008512D0">
            <w:pPr>
              <w:jc w:val="center"/>
              <w:rPr>
                <w:sz w:val="20"/>
                <w:szCs w:val="20"/>
              </w:rPr>
            </w:pPr>
          </w:p>
          <w:p w14:paraId="4C34EF01" w14:textId="77777777" w:rsidR="000D5D64" w:rsidRDefault="000D5D64" w:rsidP="008512D0">
            <w:pPr>
              <w:jc w:val="center"/>
              <w:rPr>
                <w:sz w:val="20"/>
                <w:szCs w:val="20"/>
              </w:rPr>
            </w:pPr>
            <w:r>
              <w:rPr>
                <w:sz w:val="20"/>
                <w:szCs w:val="20"/>
              </w:rPr>
              <w:t>2.1</w:t>
            </w:r>
          </w:p>
          <w:p w14:paraId="4C34EF02" w14:textId="77777777" w:rsidR="000D5D64" w:rsidRDefault="000D5D64" w:rsidP="008512D0">
            <w:pPr>
              <w:jc w:val="center"/>
              <w:rPr>
                <w:sz w:val="20"/>
                <w:szCs w:val="20"/>
              </w:rPr>
            </w:pPr>
          </w:p>
          <w:p w14:paraId="4C34EF03" w14:textId="77777777" w:rsidR="000D5D64" w:rsidRDefault="000D5D64" w:rsidP="008512D0">
            <w:pPr>
              <w:jc w:val="center"/>
              <w:rPr>
                <w:sz w:val="20"/>
                <w:szCs w:val="20"/>
              </w:rPr>
            </w:pPr>
            <w:r>
              <w:rPr>
                <w:sz w:val="20"/>
                <w:szCs w:val="20"/>
              </w:rPr>
              <w:t>2.2</w:t>
            </w:r>
          </w:p>
          <w:p w14:paraId="4C34EF04" w14:textId="77777777" w:rsidR="000D5D64" w:rsidRDefault="000D5D64" w:rsidP="008512D0">
            <w:pPr>
              <w:jc w:val="center"/>
              <w:rPr>
                <w:sz w:val="20"/>
                <w:szCs w:val="20"/>
              </w:rPr>
            </w:pPr>
          </w:p>
          <w:p w14:paraId="4C34EF05" w14:textId="77777777" w:rsidR="000D5D64" w:rsidRDefault="000D5D64" w:rsidP="008512D0">
            <w:pPr>
              <w:jc w:val="center"/>
              <w:rPr>
                <w:sz w:val="20"/>
                <w:szCs w:val="20"/>
              </w:rPr>
            </w:pPr>
          </w:p>
          <w:p w14:paraId="4C34EF06" w14:textId="77777777" w:rsidR="000D5D64" w:rsidRDefault="000D5D64" w:rsidP="008512D0">
            <w:pPr>
              <w:jc w:val="center"/>
              <w:rPr>
                <w:sz w:val="20"/>
                <w:szCs w:val="20"/>
              </w:rPr>
            </w:pPr>
          </w:p>
          <w:p w14:paraId="4C34EF07" w14:textId="77777777" w:rsidR="000D5D64" w:rsidRPr="00E3763B" w:rsidRDefault="000D5D64" w:rsidP="008512D0">
            <w:pPr>
              <w:jc w:val="center"/>
              <w:rPr>
                <w:sz w:val="20"/>
                <w:szCs w:val="20"/>
              </w:rPr>
            </w:pPr>
            <w:r>
              <w:rPr>
                <w:sz w:val="20"/>
                <w:szCs w:val="20"/>
              </w:rPr>
              <w:t>2.3</w:t>
            </w:r>
          </w:p>
        </w:tc>
        <w:tc>
          <w:tcPr>
            <w:tcW w:w="5137" w:type="dxa"/>
            <w:tcBorders>
              <w:left w:val="nil"/>
            </w:tcBorders>
          </w:tcPr>
          <w:p w14:paraId="4C34EF08" w14:textId="77777777" w:rsidR="000D5D64" w:rsidRDefault="000D5D64" w:rsidP="008512D0">
            <w:pPr>
              <w:pStyle w:val="Header"/>
              <w:jc w:val="left"/>
              <w:rPr>
                <w:sz w:val="20"/>
                <w:szCs w:val="20"/>
              </w:rPr>
            </w:pPr>
          </w:p>
          <w:p w14:paraId="4C34EF09" w14:textId="77777777" w:rsidR="000D5D64" w:rsidRDefault="000D5D64" w:rsidP="008512D0">
            <w:pPr>
              <w:pStyle w:val="Header"/>
              <w:jc w:val="left"/>
              <w:rPr>
                <w:sz w:val="20"/>
                <w:szCs w:val="20"/>
              </w:rPr>
            </w:pPr>
            <w:r>
              <w:rPr>
                <w:sz w:val="20"/>
                <w:szCs w:val="20"/>
              </w:rPr>
              <w:t>Explain the importance of energy management for own organisation</w:t>
            </w:r>
          </w:p>
          <w:p w14:paraId="4C34EF0A" w14:textId="77777777" w:rsidR="000D5D64" w:rsidRDefault="000D5D64" w:rsidP="008512D0">
            <w:pPr>
              <w:pStyle w:val="Header"/>
              <w:jc w:val="left"/>
              <w:rPr>
                <w:sz w:val="20"/>
                <w:szCs w:val="20"/>
              </w:rPr>
            </w:pPr>
            <w:r>
              <w:rPr>
                <w:sz w:val="20"/>
                <w:szCs w:val="20"/>
              </w:rPr>
              <w:t>Examine how own organisation measures energy requirements and actual consumption to determine efficiency</w:t>
            </w:r>
          </w:p>
          <w:p w14:paraId="69B1F6E9" w14:textId="77777777" w:rsidR="00C37000" w:rsidRDefault="00C37000" w:rsidP="008512D0">
            <w:pPr>
              <w:pStyle w:val="Header"/>
              <w:jc w:val="left"/>
              <w:rPr>
                <w:sz w:val="20"/>
                <w:szCs w:val="20"/>
              </w:rPr>
            </w:pPr>
          </w:p>
          <w:p w14:paraId="4C34EF0B" w14:textId="77777777" w:rsidR="000D5D64" w:rsidRDefault="000D5D64" w:rsidP="008512D0">
            <w:pPr>
              <w:pStyle w:val="Header"/>
              <w:jc w:val="left"/>
              <w:rPr>
                <w:sz w:val="20"/>
                <w:szCs w:val="20"/>
              </w:rPr>
            </w:pPr>
            <w:r>
              <w:rPr>
                <w:sz w:val="20"/>
                <w:szCs w:val="20"/>
              </w:rPr>
              <w:t>Identify ways of improving own organisation’s energy efficiency</w:t>
            </w:r>
          </w:p>
          <w:p w14:paraId="4C34EF0C" w14:textId="77777777" w:rsidR="000D5D64" w:rsidRPr="00E3763B" w:rsidRDefault="000D5D64" w:rsidP="008512D0">
            <w:pPr>
              <w:pStyle w:val="Header"/>
              <w:jc w:val="left"/>
              <w:rPr>
                <w:sz w:val="20"/>
                <w:szCs w:val="20"/>
              </w:rPr>
            </w:pPr>
          </w:p>
        </w:tc>
      </w:tr>
      <w:tr w:rsidR="000D5D64" w14:paraId="4C34EF10" w14:textId="77777777" w:rsidTr="00C37000">
        <w:tc>
          <w:tcPr>
            <w:tcW w:w="4068" w:type="dxa"/>
            <w:gridSpan w:val="3"/>
            <w:tcBorders>
              <w:right w:val="nil"/>
            </w:tcBorders>
            <w:shd w:val="clear" w:color="auto" w:fill="99CCFF"/>
          </w:tcPr>
          <w:p w14:paraId="4C34EF0E" w14:textId="77777777" w:rsidR="000D5D64" w:rsidRDefault="000D5D64" w:rsidP="008512D0">
            <w:pPr>
              <w:pStyle w:val="TableText"/>
              <w:jc w:val="both"/>
              <w:rPr>
                <w:b/>
                <w:bCs/>
              </w:rPr>
            </w:pPr>
            <w:r>
              <w:rPr>
                <w:b/>
                <w:bCs/>
              </w:rPr>
              <w:t>Additional information about the unit</w:t>
            </w:r>
          </w:p>
        </w:tc>
        <w:tc>
          <w:tcPr>
            <w:tcW w:w="5713" w:type="dxa"/>
            <w:gridSpan w:val="2"/>
            <w:tcBorders>
              <w:left w:val="nil"/>
            </w:tcBorders>
            <w:shd w:val="clear" w:color="auto" w:fill="99CCFF"/>
          </w:tcPr>
          <w:p w14:paraId="4C34EF0F" w14:textId="77777777" w:rsidR="000D5D64" w:rsidRDefault="000D5D64" w:rsidP="008512D0">
            <w:pPr>
              <w:pStyle w:val="TableText"/>
              <w:jc w:val="both"/>
            </w:pPr>
          </w:p>
        </w:tc>
      </w:tr>
      <w:tr w:rsidR="000D5D64" w14:paraId="4C34EF13" w14:textId="77777777" w:rsidTr="00C37000">
        <w:tc>
          <w:tcPr>
            <w:tcW w:w="4068" w:type="dxa"/>
            <w:gridSpan w:val="3"/>
          </w:tcPr>
          <w:p w14:paraId="4C34EF11" w14:textId="77777777" w:rsidR="000D5D64" w:rsidRDefault="000D5D64" w:rsidP="008512D0">
            <w:pPr>
              <w:pStyle w:val="TableText"/>
              <w:spacing w:after="130"/>
              <w:jc w:val="both"/>
            </w:pPr>
            <w:r>
              <w:t>Unit purpose and aim(s)</w:t>
            </w:r>
          </w:p>
        </w:tc>
        <w:tc>
          <w:tcPr>
            <w:tcW w:w="5713" w:type="dxa"/>
            <w:gridSpan w:val="2"/>
          </w:tcPr>
          <w:p w14:paraId="4C34EF12" w14:textId="77777777" w:rsidR="000D5D64" w:rsidRDefault="000D5D64" w:rsidP="008512D0">
            <w:pPr>
              <w:pStyle w:val="TableText"/>
            </w:pPr>
            <w:r w:rsidRPr="00E3763B">
              <w:t xml:space="preserve">To develop </w:t>
            </w:r>
            <w:r>
              <w:t>knowledge and understanding of managing utility services and energy efficiency.</w:t>
            </w:r>
          </w:p>
        </w:tc>
      </w:tr>
      <w:tr w:rsidR="00EA731B" w:rsidRPr="00C866A4" w14:paraId="4C34EF19" w14:textId="77777777" w:rsidTr="00C37000">
        <w:trPr>
          <w:cantSplit/>
        </w:trPr>
        <w:tc>
          <w:tcPr>
            <w:tcW w:w="4068" w:type="dxa"/>
            <w:gridSpan w:val="3"/>
          </w:tcPr>
          <w:p w14:paraId="4C34EF17" w14:textId="77777777" w:rsidR="00EA731B" w:rsidRPr="003F3E8E" w:rsidRDefault="00EA731B" w:rsidP="005A7134">
            <w:pPr>
              <w:pStyle w:val="TableText"/>
              <w:spacing w:after="130"/>
            </w:pPr>
            <w:r w:rsidRPr="003F3E8E">
              <w:t>Details of the relationship between the unit and relevant national occupational standards or professional standards or curricula (if appropriate)</w:t>
            </w:r>
          </w:p>
        </w:tc>
        <w:tc>
          <w:tcPr>
            <w:tcW w:w="5713" w:type="dxa"/>
            <w:gridSpan w:val="2"/>
            <w:vAlign w:val="center"/>
          </w:tcPr>
          <w:p w14:paraId="4C34EF18" w14:textId="77777777" w:rsidR="00EA731B" w:rsidRPr="00A6457C" w:rsidRDefault="00EA731B" w:rsidP="005773A9">
            <w:pPr>
              <w:pStyle w:val="TableText"/>
              <w:rPr>
                <w:b/>
                <w:bCs/>
              </w:rPr>
            </w:pPr>
            <w:r w:rsidRPr="00A6457C">
              <w:t xml:space="preserve">Links to </w:t>
            </w:r>
            <w:r>
              <w:t xml:space="preserve">Facilities </w:t>
            </w:r>
            <w:r w:rsidRPr="00A6457C">
              <w:t>Management</w:t>
            </w:r>
            <w:r>
              <w:t xml:space="preserve"> 200</w:t>
            </w:r>
            <w:r w:rsidRPr="00A6457C">
              <w:t xml:space="preserve">8 NOS: </w:t>
            </w:r>
            <w:r>
              <w:t>FM324</w:t>
            </w:r>
          </w:p>
        </w:tc>
      </w:tr>
      <w:tr w:rsidR="00EA731B" w14:paraId="4C34EF1C" w14:textId="77777777" w:rsidTr="00C37000">
        <w:tc>
          <w:tcPr>
            <w:tcW w:w="4068" w:type="dxa"/>
            <w:gridSpan w:val="3"/>
          </w:tcPr>
          <w:p w14:paraId="4C34EF1A" w14:textId="77777777" w:rsidR="00EA731B" w:rsidRPr="003F3E8E" w:rsidRDefault="00EA731B" w:rsidP="005A7134">
            <w:pPr>
              <w:pStyle w:val="TableText"/>
              <w:spacing w:after="130"/>
            </w:pPr>
            <w:r w:rsidRPr="003F3E8E">
              <w:t>Assessment requirements or guidance specified by a sector or regulatory body (if appropriate)</w:t>
            </w:r>
          </w:p>
        </w:tc>
        <w:tc>
          <w:tcPr>
            <w:tcW w:w="5713" w:type="dxa"/>
            <w:gridSpan w:val="2"/>
          </w:tcPr>
          <w:p w14:paraId="4C34EF1B" w14:textId="77777777" w:rsidR="00EA731B" w:rsidRPr="003F3E8E" w:rsidRDefault="00EA731B" w:rsidP="005773A9">
            <w:pPr>
              <w:pStyle w:val="TableText"/>
              <w:jc w:val="both"/>
              <w:rPr>
                <w:b/>
                <w:bCs/>
                <w:color w:val="FF0000"/>
              </w:rPr>
            </w:pPr>
          </w:p>
        </w:tc>
      </w:tr>
      <w:tr w:rsidR="00EA731B" w14:paraId="4C34EF20" w14:textId="77777777" w:rsidTr="00C37000">
        <w:tc>
          <w:tcPr>
            <w:tcW w:w="4068" w:type="dxa"/>
            <w:gridSpan w:val="3"/>
          </w:tcPr>
          <w:p w14:paraId="4C34EF1D" w14:textId="77777777" w:rsidR="00EA731B" w:rsidRPr="003F3E8E" w:rsidRDefault="00EA731B" w:rsidP="005A7134">
            <w:pPr>
              <w:pStyle w:val="TableText"/>
              <w:spacing w:after="130"/>
            </w:pPr>
            <w:r w:rsidRPr="003F3E8E">
              <w:t>Support for the unit from a sector skills council or other appropriate body (if required)</w:t>
            </w:r>
          </w:p>
        </w:tc>
        <w:tc>
          <w:tcPr>
            <w:tcW w:w="5713" w:type="dxa"/>
            <w:gridSpan w:val="2"/>
          </w:tcPr>
          <w:p w14:paraId="4C34EF1E" w14:textId="77777777" w:rsidR="00EA731B" w:rsidRPr="003F3E8E" w:rsidRDefault="00EA731B" w:rsidP="005773A9">
            <w:pPr>
              <w:rPr>
                <w:sz w:val="20"/>
                <w:szCs w:val="20"/>
              </w:rPr>
            </w:pPr>
          </w:p>
          <w:p w14:paraId="4C34EF1F" w14:textId="77777777" w:rsidR="00EA731B" w:rsidRPr="003F3E8E" w:rsidRDefault="00EA731B" w:rsidP="005773A9">
            <w:pPr>
              <w:rPr>
                <w:sz w:val="20"/>
                <w:szCs w:val="20"/>
              </w:rPr>
            </w:pPr>
            <w:r>
              <w:rPr>
                <w:sz w:val="20"/>
                <w:szCs w:val="20"/>
              </w:rPr>
              <w:t>Asset Skills</w:t>
            </w:r>
          </w:p>
        </w:tc>
      </w:tr>
      <w:tr w:rsidR="000D5D64" w14:paraId="4C34EF25" w14:textId="77777777" w:rsidTr="00C37000">
        <w:tc>
          <w:tcPr>
            <w:tcW w:w="4068" w:type="dxa"/>
            <w:gridSpan w:val="3"/>
          </w:tcPr>
          <w:p w14:paraId="4C34EF21" w14:textId="77777777" w:rsidR="000D5D64" w:rsidRDefault="000D5D64" w:rsidP="008512D0">
            <w:pPr>
              <w:pStyle w:val="TableText"/>
              <w:spacing w:after="130"/>
            </w:pPr>
            <w:r w:rsidRPr="00077527">
              <w:t>Equivalencies agreed for the unit</w:t>
            </w:r>
            <w:r>
              <w:t xml:space="preserve"> (if required)</w:t>
            </w:r>
          </w:p>
        </w:tc>
        <w:tc>
          <w:tcPr>
            <w:tcW w:w="5713" w:type="dxa"/>
            <w:gridSpan w:val="2"/>
          </w:tcPr>
          <w:p w14:paraId="4C34EF22" w14:textId="77777777" w:rsidR="000D5D64" w:rsidRDefault="000D5D64" w:rsidP="008512D0"/>
          <w:p w14:paraId="4C34EF23" w14:textId="77777777" w:rsidR="00690125" w:rsidRPr="00690125" w:rsidRDefault="00690125" w:rsidP="00690125">
            <w:pPr>
              <w:jc w:val="left"/>
              <w:rPr>
                <w:sz w:val="20"/>
                <w:szCs w:val="20"/>
              </w:rPr>
            </w:pPr>
            <w:r w:rsidRPr="00690125">
              <w:rPr>
                <w:sz w:val="20"/>
                <w:szCs w:val="20"/>
              </w:rPr>
              <w:t>M3.42 - Managing utility services and energy efficiency in the workplace</w:t>
            </w:r>
          </w:p>
          <w:p w14:paraId="4C34EF24" w14:textId="77777777" w:rsidR="00690125" w:rsidRPr="00690125" w:rsidRDefault="00690125" w:rsidP="008512D0"/>
        </w:tc>
      </w:tr>
      <w:tr w:rsidR="000D5D64" w14:paraId="4C34EF28" w14:textId="77777777" w:rsidTr="00C37000">
        <w:tc>
          <w:tcPr>
            <w:tcW w:w="4068" w:type="dxa"/>
            <w:gridSpan w:val="3"/>
          </w:tcPr>
          <w:p w14:paraId="4C34EF26" w14:textId="77777777" w:rsidR="000D5D64" w:rsidRDefault="000D5D64" w:rsidP="008512D0">
            <w:pPr>
              <w:pStyle w:val="TableText"/>
              <w:spacing w:after="130"/>
            </w:pPr>
            <w:r>
              <w:t>Location of the unit within the subject/sector classification system</w:t>
            </w:r>
          </w:p>
        </w:tc>
        <w:tc>
          <w:tcPr>
            <w:tcW w:w="5713" w:type="dxa"/>
            <w:gridSpan w:val="2"/>
            <w:vAlign w:val="center"/>
          </w:tcPr>
          <w:p w14:paraId="4C34EF27" w14:textId="77777777" w:rsidR="000D5D64" w:rsidRPr="0033059B" w:rsidRDefault="000D5D64" w:rsidP="008512D0">
            <w:pPr>
              <w:jc w:val="left"/>
              <w:rPr>
                <w:sz w:val="20"/>
                <w:szCs w:val="20"/>
              </w:rPr>
            </w:pPr>
            <w:r w:rsidRPr="0033059B">
              <w:rPr>
                <w:sz w:val="20"/>
                <w:szCs w:val="20"/>
              </w:rPr>
              <w:t>15.3 – Business Management</w:t>
            </w:r>
          </w:p>
        </w:tc>
      </w:tr>
      <w:tr w:rsidR="000D5D64" w14:paraId="4C34EF30" w14:textId="77777777" w:rsidTr="00C37000">
        <w:tc>
          <w:tcPr>
            <w:tcW w:w="9781" w:type="dxa"/>
            <w:gridSpan w:val="5"/>
            <w:shd w:val="clear" w:color="auto" w:fill="99CCFF"/>
          </w:tcPr>
          <w:p w14:paraId="4C34EF2F" w14:textId="77777777" w:rsidR="000D5D64" w:rsidRDefault="000D5D64" w:rsidP="008512D0">
            <w:pPr>
              <w:pStyle w:val="TableText"/>
              <w:jc w:val="both"/>
            </w:pPr>
            <w:bookmarkStart w:id="2" w:name="_GoBack"/>
            <w:bookmarkEnd w:id="2"/>
            <w:r>
              <w:rPr>
                <w:b/>
                <w:bCs/>
              </w:rPr>
              <w:t>Additional Guidance about the Unit</w:t>
            </w:r>
          </w:p>
        </w:tc>
      </w:tr>
      <w:tr w:rsidR="000D5D64" w:rsidRPr="00CD0A03" w14:paraId="4C34EF32" w14:textId="77777777" w:rsidTr="00C37000">
        <w:trPr>
          <w:trHeight w:val="445"/>
        </w:trPr>
        <w:tc>
          <w:tcPr>
            <w:tcW w:w="9781" w:type="dxa"/>
            <w:gridSpan w:val="5"/>
          </w:tcPr>
          <w:p w14:paraId="4C34EF31" w14:textId="77777777" w:rsidR="000D5D64" w:rsidRPr="00CD0A03" w:rsidRDefault="000D5D64" w:rsidP="008512D0">
            <w:pPr>
              <w:pStyle w:val="TableText"/>
              <w:rPr>
                <w:b/>
                <w:bCs/>
              </w:rPr>
            </w:pPr>
            <w:r w:rsidRPr="00CD0A03">
              <w:rPr>
                <w:b/>
                <w:bCs/>
              </w:rPr>
              <w:t>Indicative Content:</w:t>
            </w:r>
          </w:p>
        </w:tc>
      </w:tr>
      <w:tr w:rsidR="000D5D64" w:rsidRPr="00C866A4" w14:paraId="4C34EF3B" w14:textId="77777777" w:rsidTr="00C37000">
        <w:tc>
          <w:tcPr>
            <w:tcW w:w="392" w:type="dxa"/>
          </w:tcPr>
          <w:p w14:paraId="4C34EF33" w14:textId="77777777" w:rsidR="000D5D64" w:rsidRPr="000D5D64" w:rsidRDefault="000D5D64" w:rsidP="008512D0">
            <w:pPr>
              <w:jc w:val="center"/>
              <w:rPr>
                <w:rStyle w:val="Heading2Char"/>
                <w:sz w:val="20"/>
                <w:szCs w:val="20"/>
              </w:rPr>
            </w:pPr>
            <w:r w:rsidRPr="000D5D64">
              <w:rPr>
                <w:rStyle w:val="Heading2Char"/>
                <w:sz w:val="20"/>
                <w:szCs w:val="20"/>
              </w:rPr>
              <w:t>1</w:t>
            </w:r>
          </w:p>
        </w:tc>
        <w:tc>
          <w:tcPr>
            <w:tcW w:w="9389" w:type="dxa"/>
            <w:gridSpan w:val="4"/>
          </w:tcPr>
          <w:p w14:paraId="4C34EF34" w14:textId="77777777" w:rsidR="000D5D64" w:rsidRPr="000D5D64" w:rsidRDefault="000D5D64" w:rsidP="008512D0">
            <w:pPr>
              <w:autoSpaceDE w:val="0"/>
              <w:autoSpaceDN w:val="0"/>
              <w:adjustRightInd w:val="0"/>
              <w:jc w:val="left"/>
              <w:rPr>
                <w:sz w:val="20"/>
                <w:szCs w:val="20"/>
                <w:lang w:val="en-US"/>
              </w:rPr>
            </w:pPr>
          </w:p>
          <w:p w14:paraId="4C34EF35" w14:textId="77777777" w:rsidR="000D5D64" w:rsidRPr="000D5D64" w:rsidRDefault="000D5D64" w:rsidP="000D5D64">
            <w:pPr>
              <w:numPr>
                <w:ilvl w:val="0"/>
                <w:numId w:val="1"/>
              </w:numPr>
              <w:tabs>
                <w:tab w:val="clear" w:pos="720"/>
                <w:tab w:val="num" w:pos="460"/>
              </w:tabs>
              <w:autoSpaceDE w:val="0"/>
              <w:autoSpaceDN w:val="0"/>
              <w:adjustRightInd w:val="0"/>
              <w:ind w:left="460" w:hanging="425"/>
              <w:jc w:val="left"/>
              <w:rPr>
                <w:sz w:val="20"/>
                <w:szCs w:val="20"/>
                <w:lang w:val="en-US"/>
              </w:rPr>
            </w:pPr>
            <w:r w:rsidRPr="000D5D64">
              <w:rPr>
                <w:sz w:val="20"/>
                <w:szCs w:val="20"/>
                <w:lang w:val="en-US"/>
              </w:rPr>
              <w:t>Range of utility services (for example gas, water, electricity, tele-communications.  Alternative fuels and renewable energy sources - oil, solid fuel, solar, wind, bio-mass, geothermal)</w:t>
            </w:r>
          </w:p>
          <w:p w14:paraId="4C34EF36"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Ways of supplying utility services (for example based on location, range of suppliers, tariffs)</w:t>
            </w:r>
          </w:p>
          <w:p w14:paraId="4C34EF37"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Various options for procuring utility services (for example re-negotiation of supply and tariffs, national contracts, flexible contracting, collaborative procurement, using energy agents to secure best energy suppliers)</w:t>
            </w:r>
          </w:p>
          <w:p w14:paraId="4C34EF38"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Ways of conserving utilities (for example use of building management systems, presence detectors, grey-water systems)</w:t>
            </w:r>
          </w:p>
          <w:p w14:paraId="4C34EF39"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Alternative ways of improving utility usage (for example higher energy utilization, energy conservation, reduced consumption, thermal storage, heat recovery, condensing boilers)</w:t>
            </w:r>
          </w:p>
          <w:p w14:paraId="4C34EF3A" w14:textId="77777777" w:rsidR="000D5D64" w:rsidRPr="000D5D64" w:rsidRDefault="000D5D64" w:rsidP="008512D0">
            <w:pPr>
              <w:autoSpaceDE w:val="0"/>
              <w:autoSpaceDN w:val="0"/>
              <w:adjustRightInd w:val="0"/>
              <w:jc w:val="left"/>
              <w:rPr>
                <w:b/>
                <w:bCs/>
                <w:sz w:val="20"/>
                <w:szCs w:val="20"/>
              </w:rPr>
            </w:pPr>
          </w:p>
        </w:tc>
      </w:tr>
      <w:tr w:rsidR="000D5D64" w:rsidRPr="00C866A4" w14:paraId="4C34EF46" w14:textId="77777777" w:rsidTr="00C37000">
        <w:tc>
          <w:tcPr>
            <w:tcW w:w="392" w:type="dxa"/>
          </w:tcPr>
          <w:p w14:paraId="4C34EF3C" w14:textId="77777777" w:rsidR="000D5D64" w:rsidRPr="000D5D64" w:rsidRDefault="000D5D64" w:rsidP="008512D0">
            <w:pPr>
              <w:jc w:val="center"/>
              <w:rPr>
                <w:rStyle w:val="Heading2Char"/>
                <w:sz w:val="20"/>
                <w:szCs w:val="20"/>
              </w:rPr>
            </w:pPr>
            <w:r w:rsidRPr="000D5D64">
              <w:rPr>
                <w:rStyle w:val="Heading2Char"/>
                <w:sz w:val="20"/>
                <w:szCs w:val="20"/>
              </w:rPr>
              <w:t>2</w:t>
            </w:r>
          </w:p>
        </w:tc>
        <w:tc>
          <w:tcPr>
            <w:tcW w:w="9389" w:type="dxa"/>
            <w:gridSpan w:val="4"/>
          </w:tcPr>
          <w:p w14:paraId="4C34EF3D" w14:textId="77777777" w:rsidR="000D5D64" w:rsidRPr="000D5D64" w:rsidRDefault="000D5D64" w:rsidP="008512D0">
            <w:pPr>
              <w:autoSpaceDE w:val="0"/>
              <w:autoSpaceDN w:val="0"/>
              <w:adjustRightInd w:val="0"/>
              <w:jc w:val="left"/>
              <w:rPr>
                <w:sz w:val="20"/>
                <w:szCs w:val="20"/>
                <w:lang w:val="en-US"/>
              </w:rPr>
            </w:pPr>
          </w:p>
          <w:p w14:paraId="4C34EF3E"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The importance of energy management and the role of the facilities manager in this (for example organisation Energy Policy and energy purchasing strategy, Building Energy Management Systems [BEMS], Energy Performance Certificates [EPCs])</w:t>
            </w:r>
          </w:p>
          <w:p w14:paraId="4C34EF3F"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 xml:space="preserve">Sources of expertise in relation to energy management (for example The Carbon Trust, </w:t>
            </w:r>
            <w:r w:rsidRPr="000D5D64">
              <w:rPr>
                <w:sz w:val="20"/>
                <w:szCs w:val="20"/>
              </w:rPr>
              <w:t xml:space="preserve">Building Research Establishment, Energy Institute, energy purchasing platforms and consultancies) </w:t>
            </w:r>
          </w:p>
          <w:p w14:paraId="4C34EF40"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Existing systems for monitoring, measuring and reporting on energy matters (meter and consumption data collection and analysis, targets, benchmarking, tariff structures)</w:t>
            </w:r>
          </w:p>
          <w:p w14:paraId="4C34EF41"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Improving energy efficiency (for example reducing carbon footprint, using energy from renewable sources, district cooling and heating, purchasing energy efficient plant and equipment. combined heat and power, use of ‘smart’ meters)</w:t>
            </w:r>
          </w:p>
          <w:p w14:paraId="4C34EF42"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Communication channels for making recommendations and suggestions to improve energy efficiency (for example awareness campaigns, ‘switch-off’ regimes and signage)</w:t>
            </w:r>
          </w:p>
          <w:p w14:paraId="4C34EF43" w14:textId="77777777" w:rsidR="000D5D64" w:rsidRPr="000D5D64"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lang w:val="en-US"/>
              </w:rPr>
              <w:t>The importance of regular maintenance and servicing of HEVAC equipment</w:t>
            </w:r>
          </w:p>
          <w:p w14:paraId="4C34EF44" w14:textId="77777777" w:rsidR="000D5D64" w:rsidRPr="000D5D64" w:rsidDel="00DB7B68" w:rsidRDefault="000D5D64" w:rsidP="000D5D64">
            <w:pPr>
              <w:numPr>
                <w:ilvl w:val="0"/>
                <w:numId w:val="1"/>
              </w:numPr>
              <w:tabs>
                <w:tab w:val="clear" w:pos="720"/>
                <w:tab w:val="num" w:pos="460"/>
                <w:tab w:val="num" w:pos="618"/>
              </w:tabs>
              <w:autoSpaceDE w:val="0"/>
              <w:autoSpaceDN w:val="0"/>
              <w:adjustRightInd w:val="0"/>
              <w:ind w:left="460" w:hanging="425"/>
              <w:jc w:val="left"/>
              <w:rPr>
                <w:sz w:val="20"/>
                <w:szCs w:val="20"/>
                <w:lang w:val="en-US"/>
              </w:rPr>
            </w:pPr>
            <w:r w:rsidRPr="000D5D64">
              <w:rPr>
                <w:sz w:val="20"/>
                <w:szCs w:val="20"/>
              </w:rPr>
              <w:t>Certification schemes and standards (for example Eco-Management and Audit Scheme [EMAS], Part L Building Regulations, ISO 5001, EN16001)</w:t>
            </w:r>
          </w:p>
          <w:p w14:paraId="4C34EF45" w14:textId="77777777" w:rsidR="000D5D64" w:rsidRPr="000D5D64" w:rsidRDefault="000D5D64" w:rsidP="008512D0">
            <w:pPr>
              <w:autoSpaceDE w:val="0"/>
              <w:autoSpaceDN w:val="0"/>
              <w:adjustRightInd w:val="0"/>
              <w:jc w:val="left"/>
              <w:rPr>
                <w:b/>
                <w:bCs/>
                <w:sz w:val="20"/>
                <w:szCs w:val="20"/>
              </w:rPr>
            </w:pPr>
          </w:p>
        </w:tc>
      </w:tr>
    </w:tbl>
    <w:p w14:paraId="4C34EF47"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4EF4A" w14:textId="77777777" w:rsidR="00BF10AE" w:rsidRDefault="00BF10AE">
      <w:r>
        <w:separator/>
      </w:r>
    </w:p>
  </w:endnote>
  <w:endnote w:type="continuationSeparator" w:id="0">
    <w:p w14:paraId="4C34EF4B" w14:textId="77777777" w:rsidR="00BF10AE" w:rsidRDefault="00BF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0A89" w14:textId="77777777" w:rsidR="00C37000" w:rsidRPr="006F105D" w:rsidRDefault="00C37000" w:rsidP="00C37000">
    <w:pPr>
      <w:pStyle w:val="Footer"/>
      <w:rPr>
        <w:sz w:val="20"/>
        <w:szCs w:val="20"/>
      </w:rPr>
    </w:pPr>
    <w:r w:rsidRPr="006F105D">
      <w:rPr>
        <w:sz w:val="20"/>
        <w:szCs w:val="20"/>
      </w:rPr>
      <w:t>Awarded by City &amp; Guilds</w:t>
    </w:r>
  </w:p>
  <w:p w14:paraId="26A4E018" w14:textId="77777777" w:rsidR="00C37000" w:rsidRDefault="00C37000" w:rsidP="00C37000">
    <w:pPr>
      <w:pStyle w:val="Footer"/>
      <w:ind w:right="-279"/>
      <w:rPr>
        <w:sz w:val="20"/>
        <w:szCs w:val="20"/>
      </w:rPr>
    </w:pPr>
    <w:r w:rsidRPr="004F26C5">
      <w:rPr>
        <w:sz w:val="20"/>
        <w:szCs w:val="20"/>
      </w:rPr>
      <w:t>Understanding utility services and energy efficiency in the workplace</w:t>
    </w:r>
  </w:p>
  <w:p w14:paraId="1E35C6A6" w14:textId="77777777" w:rsidR="00C37000" w:rsidRPr="006F105D" w:rsidRDefault="00C37000" w:rsidP="00C37000">
    <w:pPr>
      <w:pStyle w:val="Footer"/>
      <w:ind w:right="-279"/>
      <w:rPr>
        <w:sz w:val="20"/>
        <w:szCs w:val="20"/>
      </w:rPr>
    </w:pPr>
    <w:r w:rsidRPr="006F105D">
      <w:rPr>
        <w:sz w:val="20"/>
        <w:szCs w:val="20"/>
      </w:rPr>
      <w:t>Version 1.0 (February 2016)</w:t>
    </w:r>
    <w:r>
      <w:rPr>
        <w:sz w:val="20"/>
        <w:szCs w:val="20"/>
      </w:rPr>
      <w:tab/>
    </w:r>
    <w:r>
      <w:rPr>
        <w:sz w:val="20"/>
        <w:szCs w:val="20"/>
      </w:rPr>
      <w:tab/>
    </w:r>
    <w:r>
      <w:rPr>
        <w:sz w:val="20"/>
        <w:szCs w:val="20"/>
      </w:rPr>
      <w:tab/>
    </w:r>
    <w:r>
      <w:rPr>
        <w:sz w:val="20"/>
        <w:szCs w:val="20"/>
      </w:rPr>
      <w:tab/>
    </w:r>
    <w:r w:rsidRPr="006F105D">
      <w:rPr>
        <w:sz w:val="20"/>
        <w:szCs w:val="20"/>
      </w:rPr>
      <w:fldChar w:fldCharType="begin"/>
    </w:r>
    <w:r w:rsidRPr="006F105D">
      <w:rPr>
        <w:sz w:val="20"/>
        <w:szCs w:val="20"/>
      </w:rPr>
      <w:instrText xml:space="preserve"> PAGE   \* MERGEFORMAT </w:instrText>
    </w:r>
    <w:r w:rsidRPr="006F105D">
      <w:rPr>
        <w:sz w:val="20"/>
        <w:szCs w:val="20"/>
      </w:rPr>
      <w:fldChar w:fldCharType="separate"/>
    </w:r>
    <w:r>
      <w:rPr>
        <w:noProof/>
        <w:sz w:val="20"/>
        <w:szCs w:val="20"/>
      </w:rPr>
      <w:t>1</w:t>
    </w:r>
    <w:r w:rsidRPr="006F105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4EF48" w14:textId="77777777" w:rsidR="00BF10AE" w:rsidRDefault="00BF10AE">
      <w:r>
        <w:separator/>
      </w:r>
    </w:p>
  </w:footnote>
  <w:footnote w:type="continuationSeparator" w:id="0">
    <w:p w14:paraId="4C34EF49" w14:textId="77777777" w:rsidR="00BF10AE" w:rsidRDefault="00BF10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4EF4C" w14:textId="29E76F6E" w:rsidR="00BF10AE" w:rsidRDefault="00C37000">
    <w:pPr>
      <w:pStyle w:val="Header"/>
    </w:pPr>
    <w:r>
      <w:rPr>
        <w:noProof/>
        <w:lang w:eastAsia="en-GB"/>
      </w:rPr>
      <w:drawing>
        <wp:anchor distT="0" distB="0" distL="114300" distR="114300" simplePos="0" relativeHeight="251659264" behindDoc="0" locked="0" layoutInCell="1" allowOverlap="1" wp14:anchorId="2EAA9DA3" wp14:editId="1B04F5AA">
          <wp:simplePos x="0" y="0"/>
          <wp:positionH relativeFrom="column">
            <wp:posOffset>5176911</wp:posOffset>
          </wp:positionH>
          <wp:positionV relativeFrom="paragraph">
            <wp:posOffset>-211455</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931F8"/>
    <w:multiLevelType w:val="hybridMultilevel"/>
    <w:tmpl w:val="8B0818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22B0C2B"/>
    <w:multiLevelType w:val="hybridMultilevel"/>
    <w:tmpl w:val="3B14E93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64"/>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2C9"/>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27"/>
    <w:rsid w:val="00077597"/>
    <w:rsid w:val="00081524"/>
    <w:rsid w:val="00082065"/>
    <w:rsid w:val="00083889"/>
    <w:rsid w:val="00084AA3"/>
    <w:rsid w:val="00085047"/>
    <w:rsid w:val="00085B73"/>
    <w:rsid w:val="00086743"/>
    <w:rsid w:val="000870F0"/>
    <w:rsid w:val="00087B75"/>
    <w:rsid w:val="00092284"/>
    <w:rsid w:val="00094ABB"/>
    <w:rsid w:val="00094ADE"/>
    <w:rsid w:val="00094FF6"/>
    <w:rsid w:val="00096113"/>
    <w:rsid w:val="00097D15"/>
    <w:rsid w:val="000A000B"/>
    <w:rsid w:val="000A054B"/>
    <w:rsid w:val="000A2461"/>
    <w:rsid w:val="000A2C38"/>
    <w:rsid w:val="000A33B2"/>
    <w:rsid w:val="000A4523"/>
    <w:rsid w:val="000A577C"/>
    <w:rsid w:val="000A5A30"/>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3DE7"/>
    <w:rsid w:val="000D4947"/>
    <w:rsid w:val="000D5D64"/>
    <w:rsid w:val="000D704D"/>
    <w:rsid w:val="000D7D7E"/>
    <w:rsid w:val="000E16E8"/>
    <w:rsid w:val="000E18EF"/>
    <w:rsid w:val="000E2659"/>
    <w:rsid w:val="000E3759"/>
    <w:rsid w:val="000E3FBE"/>
    <w:rsid w:val="000E48E1"/>
    <w:rsid w:val="000E5F35"/>
    <w:rsid w:val="000E625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0CFB"/>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E1271"/>
    <w:rsid w:val="001E13E5"/>
    <w:rsid w:val="001E2F19"/>
    <w:rsid w:val="001E3738"/>
    <w:rsid w:val="001E46AB"/>
    <w:rsid w:val="001E639D"/>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530"/>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4A4"/>
    <w:rsid w:val="00320A2D"/>
    <w:rsid w:val="00321C84"/>
    <w:rsid w:val="00323B64"/>
    <w:rsid w:val="00323DF5"/>
    <w:rsid w:val="00324156"/>
    <w:rsid w:val="00324981"/>
    <w:rsid w:val="00325462"/>
    <w:rsid w:val="003256B6"/>
    <w:rsid w:val="003257C3"/>
    <w:rsid w:val="0032620F"/>
    <w:rsid w:val="0033059B"/>
    <w:rsid w:val="003310C3"/>
    <w:rsid w:val="00332C1A"/>
    <w:rsid w:val="00332E0A"/>
    <w:rsid w:val="00332E46"/>
    <w:rsid w:val="00333149"/>
    <w:rsid w:val="0033332A"/>
    <w:rsid w:val="00333AC6"/>
    <w:rsid w:val="003346CF"/>
    <w:rsid w:val="003347FB"/>
    <w:rsid w:val="00334D35"/>
    <w:rsid w:val="003362D8"/>
    <w:rsid w:val="00337A2D"/>
    <w:rsid w:val="003407B8"/>
    <w:rsid w:val="0034239B"/>
    <w:rsid w:val="003440CA"/>
    <w:rsid w:val="00344A6E"/>
    <w:rsid w:val="00344C13"/>
    <w:rsid w:val="00345C37"/>
    <w:rsid w:val="00346428"/>
    <w:rsid w:val="003467BE"/>
    <w:rsid w:val="00347F12"/>
    <w:rsid w:val="003504F1"/>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E8E"/>
    <w:rsid w:val="003F4058"/>
    <w:rsid w:val="003F568A"/>
    <w:rsid w:val="003F5A56"/>
    <w:rsid w:val="003F703E"/>
    <w:rsid w:val="003F7557"/>
    <w:rsid w:val="003F7CC1"/>
    <w:rsid w:val="00400CAC"/>
    <w:rsid w:val="00400D39"/>
    <w:rsid w:val="004010EB"/>
    <w:rsid w:val="0040161D"/>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112F"/>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54"/>
    <w:rsid w:val="004F67D3"/>
    <w:rsid w:val="004F785A"/>
    <w:rsid w:val="00500D2F"/>
    <w:rsid w:val="0050258E"/>
    <w:rsid w:val="00502D9B"/>
    <w:rsid w:val="005031C3"/>
    <w:rsid w:val="005031E9"/>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3A9"/>
    <w:rsid w:val="00577CE9"/>
    <w:rsid w:val="00580784"/>
    <w:rsid w:val="00581794"/>
    <w:rsid w:val="00582E87"/>
    <w:rsid w:val="00584745"/>
    <w:rsid w:val="0058486E"/>
    <w:rsid w:val="00584A54"/>
    <w:rsid w:val="00584DF3"/>
    <w:rsid w:val="005855C6"/>
    <w:rsid w:val="0058572E"/>
    <w:rsid w:val="00586176"/>
    <w:rsid w:val="005864A5"/>
    <w:rsid w:val="00586A57"/>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A7134"/>
    <w:rsid w:val="005B04D4"/>
    <w:rsid w:val="005B1491"/>
    <w:rsid w:val="005B1BF2"/>
    <w:rsid w:val="005B2AB1"/>
    <w:rsid w:val="005B4223"/>
    <w:rsid w:val="005B55F5"/>
    <w:rsid w:val="005B629A"/>
    <w:rsid w:val="005B668F"/>
    <w:rsid w:val="005B7A2F"/>
    <w:rsid w:val="005C0B51"/>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3F36"/>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092D"/>
    <w:rsid w:val="00641A13"/>
    <w:rsid w:val="00642A92"/>
    <w:rsid w:val="00646170"/>
    <w:rsid w:val="006463E9"/>
    <w:rsid w:val="00646646"/>
    <w:rsid w:val="00646A6B"/>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0125"/>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148"/>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CC6"/>
    <w:rsid w:val="006E4EAB"/>
    <w:rsid w:val="006E553E"/>
    <w:rsid w:val="006E6432"/>
    <w:rsid w:val="006E773E"/>
    <w:rsid w:val="006E7B32"/>
    <w:rsid w:val="006F22AE"/>
    <w:rsid w:val="006F2397"/>
    <w:rsid w:val="006F2922"/>
    <w:rsid w:val="006F329E"/>
    <w:rsid w:val="006F548B"/>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0EDC"/>
    <w:rsid w:val="007D14DD"/>
    <w:rsid w:val="007D2FD3"/>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2D0"/>
    <w:rsid w:val="00851F46"/>
    <w:rsid w:val="00852173"/>
    <w:rsid w:val="008545A0"/>
    <w:rsid w:val="008555EC"/>
    <w:rsid w:val="00856AB1"/>
    <w:rsid w:val="008576AB"/>
    <w:rsid w:val="00857E7E"/>
    <w:rsid w:val="0086048A"/>
    <w:rsid w:val="00860D21"/>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4FE"/>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7E5F"/>
    <w:rsid w:val="008A1B0C"/>
    <w:rsid w:val="008A279D"/>
    <w:rsid w:val="008A3508"/>
    <w:rsid w:val="008A4423"/>
    <w:rsid w:val="008A5B99"/>
    <w:rsid w:val="008A68AA"/>
    <w:rsid w:val="008A78E7"/>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51D9"/>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9E"/>
    <w:rsid w:val="009379E3"/>
    <w:rsid w:val="00937F6B"/>
    <w:rsid w:val="0094032E"/>
    <w:rsid w:val="00940A7E"/>
    <w:rsid w:val="00940A8A"/>
    <w:rsid w:val="009410A0"/>
    <w:rsid w:val="009423C2"/>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8BB"/>
    <w:rsid w:val="00A5591F"/>
    <w:rsid w:val="00A56BE5"/>
    <w:rsid w:val="00A572C0"/>
    <w:rsid w:val="00A602CA"/>
    <w:rsid w:val="00A608B6"/>
    <w:rsid w:val="00A60EB9"/>
    <w:rsid w:val="00A61E72"/>
    <w:rsid w:val="00A62087"/>
    <w:rsid w:val="00A63519"/>
    <w:rsid w:val="00A636A8"/>
    <w:rsid w:val="00A63DC5"/>
    <w:rsid w:val="00A6457C"/>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23D5"/>
    <w:rsid w:val="00A83DA5"/>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1520"/>
    <w:rsid w:val="00B4244E"/>
    <w:rsid w:val="00B4398E"/>
    <w:rsid w:val="00B44DF7"/>
    <w:rsid w:val="00B45124"/>
    <w:rsid w:val="00B4516A"/>
    <w:rsid w:val="00B461F8"/>
    <w:rsid w:val="00B46572"/>
    <w:rsid w:val="00B47808"/>
    <w:rsid w:val="00B47EFD"/>
    <w:rsid w:val="00B51DC8"/>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5CC"/>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5976"/>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10AE"/>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07F93"/>
    <w:rsid w:val="00C10800"/>
    <w:rsid w:val="00C1156C"/>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00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C15"/>
    <w:rsid w:val="00C62DFA"/>
    <w:rsid w:val="00C62EDE"/>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6A4"/>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6DE6"/>
    <w:rsid w:val="00CE78F9"/>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525D"/>
    <w:rsid w:val="00D75E9A"/>
    <w:rsid w:val="00D75EB5"/>
    <w:rsid w:val="00D762B4"/>
    <w:rsid w:val="00D764A6"/>
    <w:rsid w:val="00D80906"/>
    <w:rsid w:val="00D80AC4"/>
    <w:rsid w:val="00D80C08"/>
    <w:rsid w:val="00D84A43"/>
    <w:rsid w:val="00D90A40"/>
    <w:rsid w:val="00D92A86"/>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B7B68"/>
    <w:rsid w:val="00DC05E4"/>
    <w:rsid w:val="00DC1840"/>
    <w:rsid w:val="00DC211F"/>
    <w:rsid w:val="00DC2AF2"/>
    <w:rsid w:val="00DC2AFE"/>
    <w:rsid w:val="00DC5D1D"/>
    <w:rsid w:val="00DD0C73"/>
    <w:rsid w:val="00DD18CB"/>
    <w:rsid w:val="00DD19EF"/>
    <w:rsid w:val="00DD2934"/>
    <w:rsid w:val="00DD2987"/>
    <w:rsid w:val="00DD2A92"/>
    <w:rsid w:val="00DD3351"/>
    <w:rsid w:val="00DD3779"/>
    <w:rsid w:val="00DD3D15"/>
    <w:rsid w:val="00DD3D44"/>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63B"/>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703B1"/>
    <w:rsid w:val="00E7083A"/>
    <w:rsid w:val="00E71F83"/>
    <w:rsid w:val="00E72752"/>
    <w:rsid w:val="00E72DFB"/>
    <w:rsid w:val="00E744E7"/>
    <w:rsid w:val="00E76491"/>
    <w:rsid w:val="00E76637"/>
    <w:rsid w:val="00E7712B"/>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5A6F"/>
    <w:rsid w:val="00EA6BDB"/>
    <w:rsid w:val="00EA6FB9"/>
    <w:rsid w:val="00EA731B"/>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5A6"/>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EA6"/>
    <w:rsid w:val="00F827C1"/>
    <w:rsid w:val="00F832DB"/>
    <w:rsid w:val="00F85031"/>
    <w:rsid w:val="00F857DB"/>
    <w:rsid w:val="00F86053"/>
    <w:rsid w:val="00F8641D"/>
    <w:rsid w:val="00F86F36"/>
    <w:rsid w:val="00F8788F"/>
    <w:rsid w:val="00F87C71"/>
    <w:rsid w:val="00F87E22"/>
    <w:rsid w:val="00F90C71"/>
    <w:rsid w:val="00F90E35"/>
    <w:rsid w:val="00F91A3C"/>
    <w:rsid w:val="00F91C68"/>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1BCA"/>
    <w:rsid w:val="00FB20D8"/>
    <w:rsid w:val="00FB2715"/>
    <w:rsid w:val="00FB2B9A"/>
    <w:rsid w:val="00FB39E8"/>
    <w:rsid w:val="00FB3E23"/>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34EEE1"/>
  <w14:defaultImageDpi w14:val="0"/>
  <w15:docId w15:val="{9F8E4F5F-47D9-449F-9EA0-7788E8AB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D64"/>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rsid w:val="000D5D64"/>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0D5D64"/>
    <w:rPr>
      <w:sz w:val="16"/>
      <w:szCs w:val="16"/>
    </w:rPr>
  </w:style>
  <w:style w:type="paragraph" w:styleId="Header">
    <w:name w:val="header"/>
    <w:basedOn w:val="Normal"/>
    <w:link w:val="HeaderChar"/>
    <w:uiPriority w:val="99"/>
    <w:rsid w:val="000D5D64"/>
    <w:pPr>
      <w:tabs>
        <w:tab w:val="center" w:pos="4153"/>
        <w:tab w:val="right" w:pos="8306"/>
      </w:tabs>
    </w:pPr>
  </w:style>
  <w:style w:type="character" w:customStyle="1" w:styleId="Heading2Char">
    <w:name w:val="Heading 2 Char"/>
    <w:link w:val="Heading2"/>
    <w:uiPriority w:val="99"/>
    <w:locked/>
    <w:rsid w:val="00286530"/>
    <w:rPr>
      <w:rFonts w:ascii="Arial" w:hAnsi="Arial" w:cs="Arial"/>
      <w:sz w:val="22"/>
      <w:szCs w:val="22"/>
      <w:lang w:val="en-GB" w:eastAsia="en-US"/>
    </w:rPr>
  </w:style>
  <w:style w:type="paragraph" w:customStyle="1" w:styleId="TableText">
    <w:name w:val="Table Text"/>
    <w:basedOn w:val="Normal"/>
    <w:uiPriority w:val="99"/>
    <w:semiHidden/>
    <w:rsid w:val="000D5D64"/>
    <w:pPr>
      <w:spacing w:before="120" w:after="170" w:line="240" w:lineRule="atLeast"/>
      <w:jc w:val="left"/>
    </w:pPr>
    <w:rPr>
      <w:sz w:val="20"/>
      <w:szCs w:val="20"/>
    </w:rPr>
  </w:style>
  <w:style w:type="paragraph" w:customStyle="1" w:styleId="TableColumnHeader">
    <w:name w:val="Table Column Header"/>
    <w:basedOn w:val="TableText"/>
    <w:uiPriority w:val="99"/>
    <w:semiHidden/>
    <w:rsid w:val="000D5D64"/>
    <w:rPr>
      <w:b/>
      <w:bCs/>
    </w:rPr>
  </w:style>
  <w:style w:type="character" w:customStyle="1" w:styleId="HeaderChar">
    <w:name w:val="Header Char"/>
    <w:link w:val="Header"/>
    <w:uiPriority w:val="99"/>
    <w:locked/>
    <w:rsid w:val="000D5D64"/>
    <w:rPr>
      <w:rFonts w:ascii="Arial" w:hAnsi="Arial" w:cs="Arial"/>
      <w:sz w:val="22"/>
      <w:szCs w:val="22"/>
      <w:lang w:val="en-GB" w:eastAsia="en-US"/>
    </w:rPr>
  </w:style>
  <w:style w:type="paragraph" w:styleId="CommentText">
    <w:name w:val="annotation text"/>
    <w:basedOn w:val="Normal"/>
    <w:link w:val="CommentTextChar"/>
    <w:uiPriority w:val="99"/>
    <w:semiHidden/>
    <w:rsid w:val="000D5D64"/>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lang w:eastAsia="en-US"/>
    </w:rPr>
  </w:style>
  <w:style w:type="paragraph" w:styleId="ListParagraph">
    <w:name w:val="List Paragraph"/>
    <w:basedOn w:val="Normal"/>
    <w:uiPriority w:val="99"/>
    <w:qFormat/>
    <w:rsid w:val="000D5D64"/>
    <w:pPr>
      <w:spacing w:after="200" w:line="276" w:lineRule="auto"/>
      <w:ind w:left="720"/>
      <w:jc w:val="left"/>
    </w:pPr>
    <w:rPr>
      <w:rFonts w:ascii="Calibri" w:hAnsi="Calibri" w:cs="Calibri"/>
      <w:lang w:eastAsia="en-GB"/>
    </w:rPr>
  </w:style>
  <w:style w:type="paragraph" w:styleId="BalloonText">
    <w:name w:val="Balloon Text"/>
    <w:basedOn w:val="Normal"/>
    <w:link w:val="BalloonTextChar"/>
    <w:uiPriority w:val="99"/>
    <w:semiHidden/>
    <w:rsid w:val="000D5D64"/>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Footer">
    <w:name w:val="footer"/>
    <w:basedOn w:val="Normal"/>
    <w:link w:val="FooterChar"/>
    <w:uiPriority w:val="99"/>
    <w:rsid w:val="00BF10AE"/>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Units</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8753-321</TermName>
          <TermId xmlns="http://schemas.microsoft.com/office/infopath/2007/PartnerControls">ddd7dfdb-06b0-4987-8147-377f9484d7ce</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TaxCatchAll xmlns="5f8ea682-3a42-454b-8035-422047e146b2">
      <Value>593</Value>
      <Value>592</Value>
      <Value>117</Value>
      <Value>116</Value>
      <Value>115</Value>
      <Value>114</Value>
      <Value>122</Value>
    </TaxCatchAll>
    <KpiDescription xmlns="http://schemas.microsoft.com/sharepoint/v3" xsi:nil="true"/>
    <Qualification xmlns="5f8ea682-3a42-454b-8035-422047e146b2">
      <Value>QCF</Value>
    </Qualification>
    <Level xmlns="5f8ea682-3a42-454b-8035-422047e146b2">3</Level>
  </documentManagement>
</p:properties>
</file>

<file path=customXml/itemProps1.xml><?xml version="1.0" encoding="utf-8"?>
<ds:datastoreItem xmlns:ds="http://schemas.openxmlformats.org/officeDocument/2006/customXml" ds:itemID="{0F27DFE2-8AA9-4A2A-ACBE-58E04E0CBE29}"/>
</file>

<file path=customXml/itemProps2.xml><?xml version="1.0" encoding="utf-8"?>
<ds:datastoreItem xmlns:ds="http://schemas.openxmlformats.org/officeDocument/2006/customXml" ds:itemID="{0EFC0F76-D567-42EC-A301-575EDE38A2E4}"/>
</file>

<file path=customXml/itemProps3.xml><?xml version="1.0" encoding="utf-8"?>
<ds:datastoreItem xmlns:ds="http://schemas.openxmlformats.org/officeDocument/2006/customXml" ds:itemID="{8200186D-A4FC-43FE-8ECB-15FDDF530197}"/>
</file>

<file path=docProps/app.xml><?xml version="1.0" encoding="utf-8"?>
<Properties xmlns="http://schemas.openxmlformats.org/officeDocument/2006/extended-properties" xmlns:vt="http://schemas.openxmlformats.org/officeDocument/2006/docPropsVTypes">
  <Template>Normal</Template>
  <TotalTime>2</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City &amp; Guilds</Company>
  <LinksUpToDate>false</LinksUpToDate>
  <CharactersWithSpaces>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Utility Services and Energy Efficiency in the Workplace</dc:title>
  <dc:creator>shalinis</dc:creator>
  <cp:lastModifiedBy>Jurgita Baleviciute</cp:lastModifiedBy>
  <cp:revision>3</cp:revision>
  <dcterms:created xsi:type="dcterms:W3CDTF">2013-02-15T11:29:00Z</dcterms:created>
  <dcterms:modified xsi:type="dcterms:W3CDTF">2017-02-06T16:49:00Z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122;#8753-321|ddd7dfdb-06b0-4987-8147-377f9484d7ce</vt:lpwstr>
  </property>
  <property fmtid="{D5CDD505-2E9C-101B-9397-08002B2CF9AE}" pid="3" name="Family Code">
    <vt:lpwstr>114;#8753|0bec94fe-1c1b-4322-9202-7a92c07b4fd8</vt:lpwstr>
  </property>
  <property fmtid="{D5CDD505-2E9C-101B-9397-08002B2CF9AE}" pid="4" name="ContentTypeId">
    <vt:lpwstr>0x010100AEAF307ED83CE94ABF51354CE85ADD6A00AE00124B9BBF54459B8F8FA7D1CB40A6</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