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E67" w:rsidRPr="00BC2407" w:rsidRDefault="00654E67" w:rsidP="002E3736">
      <w:pPr>
        <w:pStyle w:val="NoSpacing"/>
      </w:pPr>
      <w:r w:rsidRPr="00BC2407">
        <w:rPr>
          <w:color w:val="000000"/>
          <w:w w:val="105"/>
        </w:rPr>
        <w:t xml:space="preserve">M&amp;L </w:t>
      </w:r>
      <w:r>
        <w:rPr>
          <w:color w:val="000000"/>
        </w:rPr>
        <w:t>45</w:t>
      </w:r>
      <w:r w:rsidRPr="00BC2407">
        <w:rPr>
          <w:color w:val="000000"/>
        </w:rPr>
        <w:t xml:space="preserve"> </w:t>
      </w:r>
      <w:r>
        <w:rPr>
          <w:color w:val="000000"/>
        </w:rPr>
        <w:t>Contribute to the development of a strategic plan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45"/>
        <w:gridCol w:w="3330"/>
        <w:gridCol w:w="7375"/>
      </w:tblGrid>
      <w:tr w:rsidR="00654E67" w:rsidRPr="003D23B8" w:rsidTr="003D23B8">
        <w:tc>
          <w:tcPr>
            <w:tcW w:w="2245" w:type="dxa"/>
          </w:tcPr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F4A8D">
              <w:rPr>
                <w:rFonts w:ascii="Arial" w:hAnsi="Arial" w:cs="Arial"/>
                <w:b/>
                <w:sz w:val="20"/>
                <w:szCs w:val="20"/>
              </w:rPr>
              <w:t>Learning Outcome</w:t>
            </w:r>
          </w:p>
        </w:tc>
        <w:tc>
          <w:tcPr>
            <w:tcW w:w="3330" w:type="dxa"/>
          </w:tcPr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F4A8D">
              <w:rPr>
                <w:rFonts w:ascii="Arial" w:hAnsi="Arial" w:cs="Arial"/>
                <w:b/>
                <w:sz w:val="20"/>
                <w:szCs w:val="20"/>
              </w:rPr>
              <w:t>Assessment Criteria</w:t>
            </w:r>
          </w:p>
        </w:tc>
        <w:tc>
          <w:tcPr>
            <w:tcW w:w="7375" w:type="dxa"/>
          </w:tcPr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F4A8D">
              <w:rPr>
                <w:rFonts w:ascii="Arial" w:hAnsi="Arial" w:cs="Arial"/>
                <w:b/>
                <w:sz w:val="20"/>
                <w:szCs w:val="20"/>
              </w:rPr>
              <w:t>Guidelines and range</w:t>
            </w:r>
          </w:p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F4A8D">
              <w:rPr>
                <w:rFonts w:ascii="Arial" w:hAnsi="Arial" w:cs="Arial"/>
                <w:b/>
                <w:sz w:val="20"/>
                <w:szCs w:val="20"/>
              </w:rPr>
              <w:t>The candidate provides evidence that they understand:</w:t>
            </w:r>
          </w:p>
        </w:tc>
      </w:tr>
      <w:tr w:rsidR="00654E67" w:rsidRPr="003D23B8" w:rsidTr="00A52394">
        <w:tc>
          <w:tcPr>
            <w:tcW w:w="2245" w:type="dxa"/>
            <w:vMerge w:val="restart"/>
          </w:tcPr>
          <w:p w:rsidR="00654E67" w:rsidRPr="008F4A8D" w:rsidRDefault="00654E67" w:rsidP="00F2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8F4A8D">
              <w:rPr>
                <w:rFonts w:ascii="Arial" w:hAnsi="Arial" w:cs="Arial"/>
                <w:sz w:val="20"/>
                <w:szCs w:val="20"/>
              </w:rPr>
              <w:t>1.</w:t>
            </w:r>
            <w:r w:rsidRPr="008F4A8D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Understand the principles of strategic</w:t>
            </w:r>
          </w:p>
          <w:p w:rsidR="00654E67" w:rsidRPr="008F4A8D" w:rsidRDefault="00654E67" w:rsidP="00F253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A8D">
              <w:rPr>
                <w:rFonts w:ascii="Arial" w:hAnsi="Arial" w:cs="Arial"/>
                <w:sz w:val="20"/>
                <w:szCs w:val="20"/>
                <w:lang w:val="en-GB" w:eastAsia="en-GB"/>
              </w:rPr>
              <w:t>planning</w:t>
            </w:r>
          </w:p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54E67" w:rsidRPr="008F4A8D" w:rsidRDefault="00654E67" w:rsidP="003D2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:rsidR="00654E67" w:rsidRPr="008F4A8D" w:rsidRDefault="00654E67" w:rsidP="00F2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</w:pPr>
            <w:r w:rsidRPr="008F4A8D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1.1 </w:t>
            </w:r>
            <w:r w:rsidRPr="008F4A8D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Evaluate a range of strategic planning models </w:t>
            </w:r>
          </w:p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654E67" w:rsidRPr="008F4A8D" w:rsidRDefault="00654E67" w:rsidP="003500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A8D">
              <w:rPr>
                <w:rFonts w:ascii="Arial" w:hAnsi="Arial" w:cs="Arial"/>
                <w:sz w:val="20"/>
                <w:szCs w:val="20"/>
              </w:rPr>
              <w:t>There are a variety of models that can be used in strategic planning. The way that a strategic plan is developed depends o</w:t>
            </w:r>
            <w:r w:rsidR="008F4A8D">
              <w:rPr>
                <w:rFonts w:ascii="Arial" w:hAnsi="Arial" w:cs="Arial"/>
                <w:sz w:val="20"/>
                <w:szCs w:val="20"/>
              </w:rPr>
              <w:t xml:space="preserve">n a variety of factors such as </w:t>
            </w:r>
            <w:r w:rsidRPr="008F4A8D">
              <w:rPr>
                <w:rFonts w:ascii="Arial" w:hAnsi="Arial" w:cs="Arial"/>
                <w:sz w:val="20"/>
                <w:szCs w:val="20"/>
              </w:rPr>
              <w:t>the nature of</w:t>
            </w:r>
            <w:r w:rsidR="008F4A8D">
              <w:rPr>
                <w:rFonts w:ascii="Arial" w:hAnsi="Arial" w:cs="Arial"/>
                <w:sz w:val="20"/>
                <w:szCs w:val="20"/>
              </w:rPr>
              <w:t xml:space="preserve"> the organisation's leadership and the </w:t>
            </w:r>
            <w:r w:rsidRPr="008F4A8D">
              <w:rPr>
                <w:rFonts w:ascii="Arial" w:hAnsi="Arial" w:cs="Arial"/>
                <w:sz w:val="20"/>
                <w:szCs w:val="20"/>
              </w:rPr>
              <w:t>cultur</w:t>
            </w:r>
            <w:r w:rsidR="008F4A8D">
              <w:rPr>
                <w:rFonts w:ascii="Arial" w:hAnsi="Arial" w:cs="Arial"/>
                <w:sz w:val="20"/>
                <w:szCs w:val="20"/>
              </w:rPr>
              <w:t>e of the organis</w:t>
            </w:r>
            <w:r w:rsidRPr="008F4A8D">
              <w:rPr>
                <w:rFonts w:ascii="Arial" w:hAnsi="Arial" w:cs="Arial"/>
                <w:sz w:val="20"/>
                <w:szCs w:val="20"/>
              </w:rPr>
              <w:t>ation.</w:t>
            </w:r>
          </w:p>
          <w:p w:rsidR="00654E67" w:rsidRPr="008F4A8D" w:rsidRDefault="00654E67" w:rsidP="003500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A8D">
              <w:rPr>
                <w:rFonts w:ascii="Arial" w:hAnsi="Arial" w:cs="Arial"/>
                <w:sz w:val="20"/>
                <w:szCs w:val="20"/>
              </w:rPr>
              <w:t>Strategic planning models can include:</w:t>
            </w:r>
          </w:p>
          <w:p w:rsidR="00654E67" w:rsidRPr="008F4A8D" w:rsidRDefault="00654E67" w:rsidP="003500B6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A8D">
              <w:rPr>
                <w:rFonts w:ascii="Arial" w:hAnsi="Arial" w:cs="Arial"/>
                <w:sz w:val="20"/>
                <w:szCs w:val="20"/>
              </w:rPr>
              <w:t xml:space="preserve">Goal based </w:t>
            </w:r>
          </w:p>
          <w:p w:rsidR="00654E67" w:rsidRPr="008F4A8D" w:rsidRDefault="00654E67" w:rsidP="003500B6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A8D">
              <w:rPr>
                <w:rFonts w:ascii="Arial" w:hAnsi="Arial" w:cs="Arial"/>
                <w:sz w:val="20"/>
                <w:szCs w:val="20"/>
              </w:rPr>
              <w:t xml:space="preserve">Issue based </w:t>
            </w:r>
          </w:p>
          <w:p w:rsidR="00654E67" w:rsidRPr="008F4A8D" w:rsidRDefault="00654E67" w:rsidP="003500B6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A8D">
              <w:rPr>
                <w:rFonts w:ascii="Arial" w:hAnsi="Arial" w:cs="Arial"/>
                <w:sz w:val="20"/>
                <w:szCs w:val="20"/>
              </w:rPr>
              <w:t xml:space="preserve">Real time </w:t>
            </w:r>
          </w:p>
          <w:p w:rsidR="00654E67" w:rsidRPr="008F4A8D" w:rsidRDefault="00654E67" w:rsidP="003500B6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A8D">
              <w:rPr>
                <w:rFonts w:ascii="Arial" w:hAnsi="Arial" w:cs="Arial"/>
                <w:sz w:val="20"/>
                <w:szCs w:val="20"/>
              </w:rPr>
              <w:t xml:space="preserve">Alignment </w:t>
            </w:r>
          </w:p>
          <w:p w:rsidR="00654E67" w:rsidRPr="008F4A8D" w:rsidRDefault="00654E67" w:rsidP="003500B6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A8D">
              <w:rPr>
                <w:rFonts w:ascii="Arial" w:hAnsi="Arial" w:cs="Arial"/>
                <w:sz w:val="20"/>
                <w:szCs w:val="20"/>
              </w:rPr>
              <w:t>Organic</w:t>
            </w:r>
          </w:p>
          <w:p w:rsidR="00654E67" w:rsidRPr="008F4A8D" w:rsidRDefault="00654E67" w:rsidP="003500B6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A8D">
              <w:rPr>
                <w:rFonts w:ascii="Arial" w:hAnsi="Arial" w:cs="Arial"/>
                <w:sz w:val="20"/>
                <w:szCs w:val="20"/>
              </w:rPr>
              <w:t>Scenario planning</w:t>
            </w:r>
          </w:p>
          <w:p w:rsidR="00654E67" w:rsidRPr="008F4A8D" w:rsidRDefault="00654E67" w:rsidP="00F2534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E67" w:rsidRPr="003D23B8" w:rsidTr="00A52394">
        <w:tc>
          <w:tcPr>
            <w:tcW w:w="2245" w:type="dxa"/>
            <w:vMerge/>
          </w:tcPr>
          <w:p w:rsidR="00654E67" w:rsidRPr="008F4A8D" w:rsidRDefault="00654E67" w:rsidP="003D2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654E67" w:rsidRPr="008F4A8D" w:rsidRDefault="00654E67" w:rsidP="00F2534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F4A8D">
              <w:rPr>
                <w:rFonts w:ascii="Arial" w:hAnsi="Arial" w:cs="Arial"/>
                <w:i/>
                <w:sz w:val="20"/>
                <w:szCs w:val="20"/>
              </w:rPr>
              <w:t>In this criterion the learner is required to evaluate a minimum of three strategic planning models</w:t>
            </w:r>
            <w:r w:rsidR="002C623E">
              <w:rPr>
                <w:rFonts w:ascii="Arial" w:hAnsi="Arial" w:cs="Arial"/>
                <w:i/>
                <w:sz w:val="20"/>
                <w:szCs w:val="20"/>
              </w:rPr>
              <w:t xml:space="preserve"> in order to provide conclusions or recommendations as to their usefulness</w:t>
            </w:r>
          </w:p>
        </w:tc>
      </w:tr>
      <w:tr w:rsidR="00654E67" w:rsidRPr="003D23B8" w:rsidTr="00AD23E8">
        <w:trPr>
          <w:trHeight w:val="1876"/>
        </w:trPr>
        <w:tc>
          <w:tcPr>
            <w:tcW w:w="2245" w:type="dxa"/>
            <w:vMerge/>
          </w:tcPr>
          <w:p w:rsidR="00654E67" w:rsidRPr="008F4A8D" w:rsidRDefault="00654E67" w:rsidP="003D2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:rsidR="00654E67" w:rsidRPr="008F4A8D" w:rsidRDefault="00654E67" w:rsidP="00F2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A8D">
              <w:rPr>
                <w:rFonts w:ascii="Arial" w:hAnsi="Arial" w:cs="Arial"/>
                <w:color w:val="000000"/>
                <w:sz w:val="20"/>
                <w:szCs w:val="20"/>
              </w:rPr>
              <w:t xml:space="preserve">1.2 </w:t>
            </w:r>
            <w:r w:rsidRPr="008F4A8D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Evaluate the advantages and limitations of a range of analytical techniques </w:t>
            </w:r>
          </w:p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654E67" w:rsidRPr="008F4A8D" w:rsidRDefault="00AD23E8" w:rsidP="00F253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654E67" w:rsidRPr="008F4A8D">
              <w:rPr>
                <w:rFonts w:ascii="Arial" w:hAnsi="Arial" w:cs="Arial"/>
                <w:sz w:val="20"/>
                <w:szCs w:val="20"/>
              </w:rPr>
              <w:t>nalytical techniques that can be used to support s</w:t>
            </w:r>
            <w:r>
              <w:rPr>
                <w:rFonts w:ascii="Arial" w:hAnsi="Arial" w:cs="Arial"/>
                <w:sz w:val="20"/>
                <w:szCs w:val="20"/>
              </w:rPr>
              <w:t xml:space="preserve">trategic planning </w:t>
            </w:r>
            <w:r w:rsidR="00654E67" w:rsidRPr="008F4A8D">
              <w:rPr>
                <w:rFonts w:ascii="Arial" w:hAnsi="Arial" w:cs="Arial"/>
                <w:sz w:val="20"/>
                <w:szCs w:val="20"/>
              </w:rPr>
              <w:t>include:</w:t>
            </w:r>
          </w:p>
          <w:p w:rsidR="00654E67" w:rsidRPr="008F4A8D" w:rsidRDefault="00654E67" w:rsidP="003500B6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A8D">
              <w:rPr>
                <w:rFonts w:ascii="Arial" w:hAnsi="Arial" w:cs="Arial"/>
                <w:sz w:val="20"/>
                <w:szCs w:val="20"/>
              </w:rPr>
              <w:t>Environmental scanning</w:t>
            </w:r>
          </w:p>
          <w:p w:rsidR="00654E67" w:rsidRPr="008F4A8D" w:rsidRDefault="00654E67" w:rsidP="003500B6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A8D">
              <w:rPr>
                <w:rFonts w:ascii="Arial" w:hAnsi="Arial" w:cs="Arial"/>
                <w:sz w:val="20"/>
                <w:szCs w:val="20"/>
              </w:rPr>
              <w:t>Stakeholder analysis</w:t>
            </w:r>
          </w:p>
          <w:p w:rsidR="00654E67" w:rsidRPr="008F4A8D" w:rsidRDefault="00654E67" w:rsidP="003500B6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A8D">
              <w:rPr>
                <w:rFonts w:ascii="Arial" w:hAnsi="Arial" w:cs="Arial"/>
                <w:sz w:val="20"/>
                <w:szCs w:val="20"/>
              </w:rPr>
              <w:t>SWOT analysis</w:t>
            </w:r>
          </w:p>
          <w:p w:rsidR="00654E67" w:rsidRPr="008F4A8D" w:rsidRDefault="00AD23E8" w:rsidP="003500B6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PESTLE</w:t>
            </w:r>
            <w:r w:rsidR="00654E67" w:rsidRPr="008F4A8D">
              <w:rPr>
                <w:rFonts w:ascii="Arial" w:hAnsi="Arial" w:cs="Arial"/>
                <w:sz w:val="20"/>
                <w:szCs w:val="20"/>
              </w:rPr>
              <w:t xml:space="preserve"> analysis</w:t>
            </w:r>
          </w:p>
          <w:p w:rsidR="00654E67" w:rsidRPr="008F4A8D" w:rsidRDefault="00654E67" w:rsidP="003500B6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A8D">
              <w:rPr>
                <w:rFonts w:ascii="Arial" w:hAnsi="Arial" w:cs="Arial"/>
                <w:sz w:val="20"/>
                <w:szCs w:val="20"/>
              </w:rPr>
              <w:t>Porter five forces analysis</w:t>
            </w:r>
          </w:p>
          <w:p w:rsidR="00654E67" w:rsidRPr="008F4A8D" w:rsidRDefault="00654E67" w:rsidP="003500B6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A8D">
              <w:rPr>
                <w:rFonts w:ascii="Arial" w:hAnsi="Arial" w:cs="Arial"/>
                <w:sz w:val="20"/>
                <w:szCs w:val="20"/>
              </w:rPr>
              <w:t>Value chain analysis</w:t>
            </w:r>
          </w:p>
          <w:p w:rsidR="00654E67" w:rsidRPr="008F4A8D" w:rsidRDefault="00654E67" w:rsidP="003500B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E67" w:rsidRPr="003D23B8" w:rsidTr="009B46E1">
        <w:tc>
          <w:tcPr>
            <w:tcW w:w="2245" w:type="dxa"/>
            <w:vMerge/>
          </w:tcPr>
          <w:p w:rsidR="00654E67" w:rsidRPr="008F4A8D" w:rsidRDefault="00654E67" w:rsidP="003D2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8F4A8D">
              <w:rPr>
                <w:rFonts w:ascii="Arial" w:hAnsi="Arial" w:cs="Arial"/>
                <w:i/>
                <w:sz w:val="20"/>
                <w:szCs w:val="20"/>
              </w:rPr>
              <w:t xml:space="preserve">In this criterion the learner is required to </w:t>
            </w:r>
            <w:r w:rsidR="00AD23E8">
              <w:rPr>
                <w:rFonts w:ascii="Arial" w:hAnsi="Arial" w:cs="Arial"/>
                <w:i/>
                <w:sz w:val="20"/>
                <w:szCs w:val="20"/>
              </w:rPr>
              <w:t xml:space="preserve">evaluate </w:t>
            </w:r>
            <w:r w:rsidR="00754E70">
              <w:rPr>
                <w:rFonts w:ascii="Arial" w:hAnsi="Arial" w:cs="Arial"/>
                <w:i/>
                <w:sz w:val="20"/>
                <w:szCs w:val="20"/>
              </w:rPr>
              <w:t xml:space="preserve">three </w:t>
            </w:r>
            <w:r w:rsidRPr="008F4A8D">
              <w:rPr>
                <w:rFonts w:ascii="Arial" w:hAnsi="Arial" w:cs="Arial"/>
                <w:i/>
                <w:sz w:val="20"/>
                <w:szCs w:val="20"/>
              </w:rPr>
              <w:t>analytical techniques</w:t>
            </w:r>
            <w:r w:rsidR="00AD23E8">
              <w:rPr>
                <w:rFonts w:ascii="Arial" w:hAnsi="Arial" w:cs="Arial"/>
                <w:i/>
                <w:sz w:val="20"/>
                <w:szCs w:val="20"/>
              </w:rPr>
              <w:t xml:space="preserve"> in order to provide conclusions on the advantages </w:t>
            </w:r>
            <w:r w:rsidR="00AD23E8" w:rsidRPr="00AD23E8">
              <w:rPr>
                <w:rFonts w:ascii="Arial" w:hAnsi="Arial" w:cs="Arial"/>
                <w:b/>
                <w:i/>
                <w:sz w:val="20"/>
                <w:szCs w:val="20"/>
              </w:rPr>
              <w:t>and</w:t>
            </w:r>
            <w:r w:rsidR="00AD23E8">
              <w:rPr>
                <w:rFonts w:ascii="Arial" w:hAnsi="Arial" w:cs="Arial"/>
                <w:i/>
                <w:sz w:val="20"/>
                <w:szCs w:val="20"/>
              </w:rPr>
              <w:t xml:space="preserve"> limitations of each.</w:t>
            </w:r>
          </w:p>
        </w:tc>
      </w:tr>
      <w:tr w:rsidR="00654E67" w:rsidRPr="003D23B8" w:rsidTr="003D23B8">
        <w:tc>
          <w:tcPr>
            <w:tcW w:w="2245" w:type="dxa"/>
            <w:vMerge/>
          </w:tcPr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:rsidR="00654E67" w:rsidRPr="008F4A8D" w:rsidRDefault="00654E67" w:rsidP="00F25348">
            <w:pPr>
              <w:spacing w:before="72" w:after="0" w:line="240" w:lineRule="auto"/>
              <w:ind w:right="432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8F4A8D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1.3 </w:t>
            </w:r>
            <w:r w:rsidRPr="008F4A8D">
              <w:rPr>
                <w:rFonts w:ascii="Arial" w:hAnsi="Arial" w:cs="Arial"/>
                <w:sz w:val="20"/>
                <w:szCs w:val="20"/>
                <w:lang w:val="en-GB" w:eastAsia="en-GB"/>
              </w:rPr>
              <w:t>Analyse a range of perspectives of and approaches to business strategy</w:t>
            </w:r>
          </w:p>
        </w:tc>
        <w:tc>
          <w:tcPr>
            <w:tcW w:w="7375" w:type="dxa"/>
          </w:tcPr>
          <w:p w:rsidR="00654E67" w:rsidRDefault="00D4275C" w:rsidP="003500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strategy and strategic management do not take place in a vacuum, and strategies will be influenced by the business’ environment and the nature and context of the business itself.</w:t>
            </w:r>
          </w:p>
          <w:p w:rsidR="00D4275C" w:rsidRDefault="00D4275C" w:rsidP="003500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4275C" w:rsidRPr="008F4A8D" w:rsidRDefault="00D4275C" w:rsidP="003500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example, a small business is like to have different perspectives and approaches to strategy than a multinational corporation</w:t>
            </w:r>
            <w:r w:rsidR="00423CF1">
              <w:rPr>
                <w:rFonts w:ascii="Arial" w:hAnsi="Arial" w:cs="Arial"/>
                <w:sz w:val="20"/>
                <w:szCs w:val="20"/>
              </w:rPr>
              <w:t xml:space="preserve"> does</w:t>
            </w:r>
            <w:r>
              <w:rPr>
                <w:rFonts w:ascii="Arial" w:hAnsi="Arial" w:cs="Arial"/>
                <w:sz w:val="20"/>
                <w:szCs w:val="20"/>
              </w:rPr>
              <w:t xml:space="preserve">, and there are also likely to be different perspectives and approaches to strategy yet again in the public sector and the voluntary sector.  </w:t>
            </w:r>
          </w:p>
          <w:p w:rsidR="00654E67" w:rsidRPr="008F4A8D" w:rsidRDefault="00654E67" w:rsidP="001266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E67" w:rsidRPr="003D23B8" w:rsidTr="003D23B8">
        <w:tc>
          <w:tcPr>
            <w:tcW w:w="2245" w:type="dxa"/>
            <w:vMerge/>
          </w:tcPr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654E67" w:rsidRPr="00A202B8" w:rsidRDefault="00654E67" w:rsidP="003D23B8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202B8">
              <w:rPr>
                <w:rFonts w:ascii="Arial" w:hAnsi="Arial" w:cs="Arial"/>
                <w:i/>
                <w:sz w:val="20"/>
                <w:szCs w:val="20"/>
              </w:rPr>
              <w:t xml:space="preserve">In this criterion the learner is required to </w:t>
            </w:r>
            <w:r w:rsidR="00754E70" w:rsidRPr="00A202B8">
              <w:rPr>
                <w:rFonts w:ascii="Arial" w:hAnsi="Arial" w:cs="Arial"/>
                <w:i/>
                <w:sz w:val="20"/>
                <w:szCs w:val="20"/>
              </w:rPr>
              <w:t>analyse</w:t>
            </w:r>
            <w:r w:rsidRPr="00A202B8">
              <w:rPr>
                <w:rFonts w:ascii="Arial" w:hAnsi="Arial" w:cs="Arial"/>
                <w:i/>
                <w:sz w:val="20"/>
                <w:szCs w:val="20"/>
              </w:rPr>
              <w:t xml:space="preserve"> a minimum of three different perspectives of </w:t>
            </w:r>
            <w:r w:rsidRPr="00A202B8">
              <w:rPr>
                <w:rFonts w:ascii="Arial" w:hAnsi="Arial" w:cs="Arial"/>
                <w:b/>
                <w:i/>
                <w:sz w:val="20"/>
                <w:szCs w:val="20"/>
              </w:rPr>
              <w:t>and</w:t>
            </w:r>
            <w:r w:rsidRPr="00A202B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A202B8" w:rsidRPr="00A202B8">
              <w:rPr>
                <w:rFonts w:ascii="Arial" w:hAnsi="Arial" w:cs="Arial"/>
                <w:i/>
                <w:sz w:val="20"/>
                <w:szCs w:val="20"/>
              </w:rPr>
              <w:t xml:space="preserve">a minimum of three different </w:t>
            </w:r>
            <w:r w:rsidRPr="00A202B8">
              <w:rPr>
                <w:rFonts w:ascii="Arial" w:hAnsi="Arial" w:cs="Arial"/>
                <w:i/>
                <w:sz w:val="20"/>
                <w:szCs w:val="20"/>
              </w:rPr>
              <w:t xml:space="preserve">approaches to business </w:t>
            </w:r>
            <w:r w:rsidRPr="00A202B8">
              <w:rPr>
                <w:rFonts w:ascii="Arial" w:hAnsi="Arial" w:cs="Arial"/>
                <w:i/>
                <w:sz w:val="20"/>
                <w:szCs w:val="20"/>
              </w:rPr>
              <w:lastRenderedPageBreak/>
              <w:t>strategy</w:t>
            </w:r>
            <w:r w:rsidR="00A202B8" w:rsidRPr="00A202B8">
              <w:rPr>
                <w:rFonts w:ascii="Arial" w:hAnsi="Arial" w:cs="Arial"/>
                <w:i/>
                <w:sz w:val="20"/>
                <w:szCs w:val="20"/>
              </w:rPr>
              <w:t xml:space="preserve"> in order to determine </w:t>
            </w:r>
            <w:r w:rsidR="00A202B8" w:rsidRPr="00A202B8">
              <w:rPr>
                <w:rFonts w:ascii="Arial" w:hAnsi="Arial" w:cs="Arial"/>
                <w:i/>
                <w:sz w:val="20"/>
                <w:szCs w:val="20"/>
                <w:lang w:val="en-GB"/>
              </w:rPr>
              <w:t>the essential features of each and draw conclusions.</w:t>
            </w:r>
          </w:p>
        </w:tc>
      </w:tr>
      <w:tr w:rsidR="00654E67" w:rsidRPr="003D23B8" w:rsidTr="003D23B8">
        <w:trPr>
          <w:trHeight w:val="256"/>
        </w:trPr>
        <w:tc>
          <w:tcPr>
            <w:tcW w:w="2245" w:type="dxa"/>
            <w:vMerge w:val="restart"/>
          </w:tcPr>
          <w:p w:rsidR="00654E67" w:rsidRPr="008F4A8D" w:rsidRDefault="00654E67" w:rsidP="00F2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8F4A8D">
              <w:rPr>
                <w:rFonts w:ascii="Arial" w:hAnsi="Arial" w:cs="Arial"/>
                <w:sz w:val="20"/>
                <w:szCs w:val="20"/>
              </w:rPr>
              <w:lastRenderedPageBreak/>
              <w:t xml:space="preserve">2. </w:t>
            </w:r>
            <w:r w:rsidRPr="008F4A8D">
              <w:rPr>
                <w:rFonts w:ascii="Arial" w:hAnsi="Arial" w:cs="Arial"/>
                <w:sz w:val="20"/>
                <w:szCs w:val="20"/>
                <w:lang w:val="en-GB" w:eastAsia="en-GB"/>
              </w:rPr>
              <w:t>Be able to analyse the factors affecting</w:t>
            </w:r>
          </w:p>
          <w:p w:rsidR="00654E67" w:rsidRPr="008F4A8D" w:rsidRDefault="00654E67" w:rsidP="00F253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A8D">
              <w:rPr>
                <w:rFonts w:ascii="Arial" w:hAnsi="Arial" w:cs="Arial"/>
                <w:sz w:val="20"/>
                <w:szCs w:val="20"/>
                <w:lang w:val="en-GB" w:eastAsia="en-GB"/>
              </w:rPr>
              <w:t>the development of strategic plans</w:t>
            </w:r>
          </w:p>
        </w:tc>
        <w:tc>
          <w:tcPr>
            <w:tcW w:w="3330" w:type="dxa"/>
            <w:vMerge w:val="restart"/>
          </w:tcPr>
          <w:p w:rsidR="00654E67" w:rsidRPr="008F4A8D" w:rsidRDefault="00654E67" w:rsidP="00F25348">
            <w:pPr>
              <w:spacing w:before="36" w:after="0" w:line="285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A8D">
              <w:rPr>
                <w:rFonts w:ascii="Arial" w:hAnsi="Arial" w:cs="Arial"/>
                <w:color w:val="000000"/>
                <w:sz w:val="20"/>
                <w:szCs w:val="20"/>
              </w:rPr>
              <w:t xml:space="preserve">2.1 </w:t>
            </w:r>
            <w:r w:rsidRPr="008F4A8D">
              <w:rPr>
                <w:rFonts w:ascii="Arial" w:hAnsi="Arial" w:cs="Arial"/>
                <w:sz w:val="20"/>
                <w:szCs w:val="20"/>
                <w:lang w:val="en-GB" w:eastAsia="en-GB"/>
              </w:rPr>
              <w:t>Evaluate political, economic, social, technological, legal and ethical factors affecting the development of strategic plans</w:t>
            </w:r>
          </w:p>
        </w:tc>
        <w:tc>
          <w:tcPr>
            <w:tcW w:w="7375" w:type="dxa"/>
          </w:tcPr>
          <w:p w:rsidR="00654E67" w:rsidRPr="008F4A8D" w:rsidRDefault="00654E67" w:rsidP="003500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A8D">
              <w:rPr>
                <w:rFonts w:ascii="Arial" w:hAnsi="Arial" w:cs="Arial"/>
                <w:sz w:val="20"/>
                <w:szCs w:val="20"/>
              </w:rPr>
              <w:t>Evaluating the political, economic, social, technological, legal and ethical</w:t>
            </w:r>
            <w:r w:rsidR="0060675D">
              <w:rPr>
                <w:rFonts w:ascii="Arial" w:hAnsi="Arial" w:cs="Arial"/>
                <w:sz w:val="20"/>
                <w:szCs w:val="20"/>
              </w:rPr>
              <w:t xml:space="preserve"> factors is a useful </w:t>
            </w:r>
            <w:r w:rsidRPr="008F4A8D">
              <w:rPr>
                <w:rFonts w:ascii="Arial" w:hAnsi="Arial" w:cs="Arial"/>
                <w:sz w:val="20"/>
                <w:szCs w:val="20"/>
              </w:rPr>
              <w:t>tech</w:t>
            </w:r>
            <w:r w:rsidR="00423CF1">
              <w:rPr>
                <w:rFonts w:ascii="Arial" w:hAnsi="Arial" w:cs="Arial"/>
                <w:sz w:val="20"/>
                <w:szCs w:val="20"/>
              </w:rPr>
              <w:t xml:space="preserve">nique in strategic </w:t>
            </w:r>
            <w:r w:rsidRPr="008F4A8D">
              <w:rPr>
                <w:rFonts w:ascii="Arial" w:hAnsi="Arial" w:cs="Arial"/>
                <w:sz w:val="20"/>
                <w:szCs w:val="20"/>
              </w:rPr>
              <w:t>planning. It allows the organisation to understand the environment in which it is operating</w:t>
            </w:r>
            <w:r w:rsidR="00C6499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54E67" w:rsidRPr="008F4A8D" w:rsidRDefault="00C6499F" w:rsidP="000270CE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654E67" w:rsidRPr="008F4A8D">
              <w:rPr>
                <w:rFonts w:ascii="Arial" w:hAnsi="Arial" w:cs="Arial"/>
                <w:sz w:val="20"/>
                <w:szCs w:val="20"/>
              </w:rPr>
              <w:t>olitical - could include factors such as, European and UK Government directives, tax policy</w:t>
            </w:r>
          </w:p>
          <w:p w:rsidR="00654E67" w:rsidRPr="008F4A8D" w:rsidRDefault="00C6499F" w:rsidP="000270CE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654E67" w:rsidRPr="008F4A8D">
              <w:rPr>
                <w:rFonts w:ascii="Arial" w:hAnsi="Arial" w:cs="Arial"/>
                <w:sz w:val="20"/>
                <w:szCs w:val="20"/>
              </w:rPr>
              <w:t>conomic - could include factors such as funding streams, interest rate changes, budgetary restrictions</w:t>
            </w:r>
          </w:p>
          <w:p w:rsidR="00654E67" w:rsidRPr="008F4A8D" w:rsidRDefault="00C6499F" w:rsidP="000270CE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654E67" w:rsidRPr="008F4A8D">
              <w:rPr>
                <w:rFonts w:ascii="Arial" w:hAnsi="Arial" w:cs="Arial"/>
                <w:sz w:val="20"/>
                <w:szCs w:val="20"/>
              </w:rPr>
              <w:t xml:space="preserve">ocial -  could include factors such as cultural trends, age distribution, demographics </w:t>
            </w:r>
          </w:p>
          <w:p w:rsidR="00654E67" w:rsidRPr="008F4A8D" w:rsidRDefault="00C6499F" w:rsidP="000270CE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654E67" w:rsidRPr="008F4A8D">
              <w:rPr>
                <w:rFonts w:ascii="Arial" w:hAnsi="Arial" w:cs="Arial"/>
                <w:sz w:val="20"/>
                <w:szCs w:val="20"/>
              </w:rPr>
              <w:t xml:space="preserve">echnological - could include factors such as new </w:t>
            </w:r>
            <w:r w:rsidR="00024BAC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654E67" w:rsidRPr="008F4A8D">
              <w:rPr>
                <w:rFonts w:ascii="Arial" w:hAnsi="Arial" w:cs="Arial"/>
                <w:sz w:val="20"/>
                <w:szCs w:val="20"/>
              </w:rPr>
              <w:t>emerging technologies, changes to IT systems</w:t>
            </w:r>
          </w:p>
          <w:p w:rsidR="00654E67" w:rsidRPr="008F4A8D" w:rsidRDefault="00C6499F" w:rsidP="000270CE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654E67" w:rsidRPr="008F4A8D">
              <w:rPr>
                <w:rFonts w:ascii="Arial" w:hAnsi="Arial" w:cs="Arial"/>
                <w:sz w:val="20"/>
                <w:szCs w:val="20"/>
              </w:rPr>
              <w:t>egal - could include factors such as proposed and passed EU and UK legislation, company policies and procedures</w:t>
            </w:r>
          </w:p>
          <w:p w:rsidR="00654E67" w:rsidRPr="008F4A8D" w:rsidRDefault="00C6499F" w:rsidP="000270CE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654E67" w:rsidRPr="008F4A8D">
              <w:rPr>
                <w:rFonts w:ascii="Arial" w:hAnsi="Arial" w:cs="Arial"/>
                <w:sz w:val="20"/>
                <w:szCs w:val="20"/>
              </w:rPr>
              <w:t>thical -</w:t>
            </w:r>
            <w:r w:rsidR="00654E67" w:rsidRPr="008F4A8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54E67" w:rsidRPr="008F4A8D">
              <w:rPr>
                <w:rFonts w:ascii="Arial" w:hAnsi="Arial" w:cs="Arial"/>
                <w:sz w:val="20"/>
                <w:szCs w:val="20"/>
              </w:rPr>
              <w:t>could include factors such as fair trade, carbon footprints, sustainability</w:t>
            </w:r>
          </w:p>
          <w:p w:rsidR="00654E67" w:rsidRPr="008F4A8D" w:rsidRDefault="00654E67" w:rsidP="005B79A5">
            <w:pPr>
              <w:spacing w:after="0" w:line="240" w:lineRule="auto"/>
              <w:ind w:left="36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654E67" w:rsidRPr="003D23B8" w:rsidTr="003D23B8">
        <w:trPr>
          <w:trHeight w:val="256"/>
        </w:trPr>
        <w:tc>
          <w:tcPr>
            <w:tcW w:w="2245" w:type="dxa"/>
            <w:vMerge/>
          </w:tcPr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:rsidR="00654E67" w:rsidRPr="008F4A8D" w:rsidRDefault="00654E67" w:rsidP="003D23B8">
            <w:pPr>
              <w:spacing w:before="36" w:after="0" w:line="285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5" w:type="dxa"/>
          </w:tcPr>
          <w:p w:rsidR="00654E67" w:rsidRPr="008F4A8D" w:rsidRDefault="00654E67" w:rsidP="003500B6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8F4A8D">
              <w:rPr>
                <w:rFonts w:ascii="Arial" w:hAnsi="Arial" w:cs="Arial"/>
                <w:i/>
                <w:sz w:val="20"/>
                <w:szCs w:val="20"/>
              </w:rPr>
              <w:t xml:space="preserve">In this criterion the learner is required to evaluate all the following factors </w:t>
            </w:r>
            <w:r w:rsidR="00710481">
              <w:rPr>
                <w:rFonts w:ascii="Arial" w:hAnsi="Arial" w:cs="Arial"/>
                <w:i/>
                <w:sz w:val="20"/>
                <w:szCs w:val="20"/>
              </w:rPr>
              <w:t xml:space="preserve">in order to provide a conclusion on how they </w:t>
            </w:r>
            <w:r w:rsidRPr="008F4A8D">
              <w:rPr>
                <w:rFonts w:ascii="Arial" w:hAnsi="Arial" w:cs="Arial"/>
                <w:i/>
                <w:sz w:val="20"/>
                <w:szCs w:val="20"/>
              </w:rPr>
              <w:t>affect the development of strategic plans</w:t>
            </w:r>
            <w:r w:rsidR="00710481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:rsidR="00654E67" w:rsidRPr="008F4A8D" w:rsidRDefault="00654E67" w:rsidP="003500B6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8F4A8D">
              <w:rPr>
                <w:rFonts w:ascii="Arial" w:hAnsi="Arial" w:cs="Arial"/>
                <w:i/>
                <w:sz w:val="20"/>
                <w:szCs w:val="20"/>
              </w:rPr>
              <w:t>Political</w:t>
            </w:r>
          </w:p>
          <w:p w:rsidR="00654E67" w:rsidRPr="008F4A8D" w:rsidRDefault="00654E67" w:rsidP="003500B6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8F4A8D">
              <w:rPr>
                <w:rFonts w:ascii="Arial" w:hAnsi="Arial" w:cs="Arial"/>
                <w:i/>
                <w:sz w:val="20"/>
                <w:szCs w:val="20"/>
              </w:rPr>
              <w:t xml:space="preserve">Economic </w:t>
            </w:r>
          </w:p>
          <w:p w:rsidR="00654E67" w:rsidRPr="008F4A8D" w:rsidRDefault="00654E67" w:rsidP="003500B6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8F4A8D">
              <w:rPr>
                <w:rFonts w:ascii="Arial" w:hAnsi="Arial" w:cs="Arial"/>
                <w:i/>
                <w:sz w:val="20"/>
                <w:szCs w:val="20"/>
              </w:rPr>
              <w:t>Social</w:t>
            </w:r>
          </w:p>
          <w:p w:rsidR="00654E67" w:rsidRPr="008F4A8D" w:rsidRDefault="00654E67" w:rsidP="003500B6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8F4A8D">
              <w:rPr>
                <w:rFonts w:ascii="Arial" w:hAnsi="Arial" w:cs="Arial"/>
                <w:i/>
                <w:sz w:val="20"/>
                <w:szCs w:val="20"/>
              </w:rPr>
              <w:t>Technological</w:t>
            </w:r>
          </w:p>
          <w:p w:rsidR="00654E67" w:rsidRPr="008F4A8D" w:rsidRDefault="00654E67" w:rsidP="003500B6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8F4A8D">
              <w:rPr>
                <w:rFonts w:ascii="Arial" w:hAnsi="Arial" w:cs="Arial"/>
                <w:i/>
                <w:sz w:val="20"/>
                <w:szCs w:val="20"/>
              </w:rPr>
              <w:t>Legal</w:t>
            </w:r>
          </w:p>
          <w:p w:rsidR="00654E67" w:rsidRPr="00D22649" w:rsidRDefault="00654E67" w:rsidP="00D22649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A8D">
              <w:rPr>
                <w:rFonts w:ascii="Arial" w:hAnsi="Arial" w:cs="Arial"/>
                <w:i/>
                <w:sz w:val="20"/>
                <w:szCs w:val="20"/>
              </w:rPr>
              <w:t>Ethical</w:t>
            </w:r>
          </w:p>
        </w:tc>
      </w:tr>
      <w:tr w:rsidR="00654E67" w:rsidRPr="003D23B8" w:rsidTr="003D23B8">
        <w:trPr>
          <w:trHeight w:val="1266"/>
        </w:trPr>
        <w:tc>
          <w:tcPr>
            <w:tcW w:w="2245" w:type="dxa"/>
            <w:vMerge/>
          </w:tcPr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:rsidR="00654E67" w:rsidRPr="008F4A8D" w:rsidRDefault="00654E67" w:rsidP="00F2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8F4A8D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2.2 </w:t>
            </w:r>
            <w:r w:rsidRPr="008F4A8D">
              <w:rPr>
                <w:rFonts w:ascii="Arial" w:hAnsi="Arial" w:cs="Arial"/>
                <w:sz w:val="20"/>
                <w:szCs w:val="20"/>
                <w:lang w:val="en-GB" w:eastAsia="en-GB"/>
              </w:rPr>
              <w:t>Evaluate the market factors that may influence strategic planning decisions</w:t>
            </w:r>
          </w:p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654E67" w:rsidRPr="008F4A8D" w:rsidRDefault="00654E67" w:rsidP="00F253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A8D">
              <w:rPr>
                <w:rFonts w:ascii="Arial" w:hAnsi="Arial" w:cs="Arial"/>
                <w:sz w:val="20"/>
                <w:szCs w:val="20"/>
              </w:rPr>
              <w:t>There are many market factors that could influence strategic planning decisions. These can include factors such as</w:t>
            </w:r>
            <w:r w:rsidR="004F0C8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54E67" w:rsidRPr="008F4A8D" w:rsidRDefault="004F0C83" w:rsidP="004572AD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654E67" w:rsidRPr="008F4A8D">
              <w:rPr>
                <w:rFonts w:ascii="Arial" w:hAnsi="Arial" w:cs="Arial"/>
                <w:sz w:val="20"/>
                <w:szCs w:val="20"/>
              </w:rPr>
              <w:t>kills availability</w:t>
            </w:r>
          </w:p>
          <w:p w:rsidR="00654E67" w:rsidRPr="008F4A8D" w:rsidRDefault="004F0C83" w:rsidP="004572AD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654E67" w:rsidRPr="008F4A8D">
              <w:rPr>
                <w:rFonts w:ascii="Arial" w:hAnsi="Arial" w:cs="Arial"/>
                <w:sz w:val="20"/>
                <w:szCs w:val="20"/>
              </w:rPr>
              <w:t>esource availability</w:t>
            </w:r>
          </w:p>
          <w:p w:rsidR="00654E67" w:rsidRPr="008F4A8D" w:rsidRDefault="004F0C83" w:rsidP="004572AD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654E67" w:rsidRPr="008F4A8D">
              <w:rPr>
                <w:rFonts w:ascii="Arial" w:hAnsi="Arial" w:cs="Arial"/>
                <w:sz w:val="20"/>
                <w:szCs w:val="20"/>
              </w:rPr>
              <w:t>nternational experience</w:t>
            </w:r>
          </w:p>
          <w:p w:rsidR="00654E67" w:rsidRPr="008F4A8D" w:rsidRDefault="004F0C83" w:rsidP="004572AD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654E67" w:rsidRPr="008F4A8D">
              <w:rPr>
                <w:rFonts w:ascii="Arial" w:hAnsi="Arial" w:cs="Arial"/>
                <w:sz w:val="20"/>
                <w:szCs w:val="20"/>
              </w:rPr>
              <w:t>ompetitor activity</w:t>
            </w:r>
          </w:p>
          <w:p w:rsidR="00654E67" w:rsidRPr="008F4A8D" w:rsidRDefault="004F0C83" w:rsidP="0054009C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654E67" w:rsidRPr="008F4A8D">
              <w:rPr>
                <w:rFonts w:ascii="Arial" w:hAnsi="Arial" w:cs="Arial"/>
                <w:sz w:val="20"/>
                <w:szCs w:val="20"/>
              </w:rPr>
              <w:t>overnment intervention</w:t>
            </w:r>
          </w:p>
          <w:p w:rsidR="00654E67" w:rsidRPr="008F4A8D" w:rsidRDefault="004F0C83" w:rsidP="0054009C">
            <w:pPr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654E67" w:rsidRPr="008F4A8D">
              <w:rPr>
                <w:rFonts w:ascii="Arial" w:hAnsi="Arial" w:cs="Arial"/>
                <w:sz w:val="20"/>
                <w:szCs w:val="20"/>
              </w:rPr>
              <w:t>ommodity availability</w:t>
            </w:r>
          </w:p>
        </w:tc>
      </w:tr>
      <w:tr w:rsidR="00654E67" w:rsidRPr="003D23B8" w:rsidTr="009B7166">
        <w:trPr>
          <w:trHeight w:val="759"/>
        </w:trPr>
        <w:tc>
          <w:tcPr>
            <w:tcW w:w="2245" w:type="dxa"/>
            <w:vMerge/>
          </w:tcPr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:rsidR="00654E67" w:rsidRPr="008F4A8D" w:rsidRDefault="00654E67" w:rsidP="003D23B8">
            <w:pPr>
              <w:spacing w:before="72" w:after="0" w:line="268" w:lineRule="exact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7375" w:type="dxa"/>
          </w:tcPr>
          <w:p w:rsidR="00654E67" w:rsidRPr="008F4A8D" w:rsidRDefault="00654E67" w:rsidP="003D23B8">
            <w:pPr>
              <w:pStyle w:val="Subtitle"/>
              <w:tabs>
                <w:tab w:val="right" w:pos="7159"/>
              </w:tabs>
              <w:spacing w:after="0" w:line="240" w:lineRule="auto"/>
              <w:rPr>
                <w:rFonts w:ascii="Arial" w:hAnsi="Arial" w:cs="Arial"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8F4A8D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In this criterion the learner is required to evaluate a minimum of two market factors </w:t>
            </w:r>
            <w:r w:rsidR="004F0C83" w:rsidRPr="004F0C83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in order to provide a conclusion on how they </w:t>
            </w:r>
            <w:r w:rsidRPr="008F4A8D">
              <w:rPr>
                <w:rFonts w:ascii="Arial" w:hAnsi="Arial" w:cs="Arial"/>
                <w:i/>
                <w:color w:val="auto"/>
                <w:sz w:val="20"/>
                <w:szCs w:val="20"/>
              </w:rPr>
              <w:t>may influence strategic planning decisions</w:t>
            </w:r>
          </w:p>
        </w:tc>
      </w:tr>
      <w:tr w:rsidR="00654E67" w:rsidRPr="003D23B8" w:rsidTr="003D23B8">
        <w:trPr>
          <w:trHeight w:val="234"/>
        </w:trPr>
        <w:tc>
          <w:tcPr>
            <w:tcW w:w="2245" w:type="dxa"/>
            <w:vMerge/>
          </w:tcPr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:rsidR="00654E67" w:rsidRPr="008F4A8D" w:rsidRDefault="00654E67" w:rsidP="00F253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A8D">
              <w:rPr>
                <w:rFonts w:ascii="Arial" w:hAnsi="Arial" w:cs="Arial"/>
                <w:color w:val="000000"/>
                <w:sz w:val="20"/>
                <w:szCs w:val="20"/>
              </w:rPr>
              <w:t xml:space="preserve">2.3 </w:t>
            </w:r>
            <w:r w:rsidRPr="008F4A8D">
              <w:rPr>
                <w:rFonts w:ascii="Arial" w:hAnsi="Arial" w:cs="Arial"/>
                <w:sz w:val="20"/>
                <w:szCs w:val="20"/>
                <w:lang w:val="en-GB" w:eastAsia="en-GB"/>
              </w:rPr>
              <w:t>Evaluate the application of scanning tools to strategy development</w:t>
            </w:r>
          </w:p>
        </w:tc>
        <w:tc>
          <w:tcPr>
            <w:tcW w:w="7375" w:type="dxa"/>
          </w:tcPr>
          <w:p w:rsidR="00654E67" w:rsidRPr="008F4A8D" w:rsidRDefault="00654E67" w:rsidP="00A53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A8D">
              <w:rPr>
                <w:rFonts w:ascii="Arial" w:hAnsi="Arial" w:cs="Arial"/>
                <w:sz w:val="20"/>
                <w:szCs w:val="20"/>
              </w:rPr>
              <w:t xml:space="preserve">Scanning tools are used by </w:t>
            </w:r>
            <w:r w:rsidR="00497EDF" w:rsidRPr="008F4A8D">
              <w:rPr>
                <w:rFonts w:ascii="Arial" w:hAnsi="Arial" w:cs="Arial"/>
                <w:sz w:val="20"/>
                <w:szCs w:val="20"/>
              </w:rPr>
              <w:t>organisations</w:t>
            </w:r>
            <w:r w:rsidRPr="008F4A8D">
              <w:rPr>
                <w:rFonts w:ascii="Arial" w:hAnsi="Arial" w:cs="Arial"/>
                <w:sz w:val="20"/>
                <w:szCs w:val="20"/>
              </w:rPr>
              <w:t xml:space="preserve"> to monitor important events in their surrounding environment. It involves identifying the issues and trends that have important implications for the future. </w:t>
            </w:r>
          </w:p>
          <w:p w:rsidR="00654E67" w:rsidRPr="008F4A8D" w:rsidRDefault="00654E67" w:rsidP="00A53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A8D">
              <w:rPr>
                <w:rFonts w:ascii="Arial" w:hAnsi="Arial" w:cs="Arial"/>
                <w:sz w:val="20"/>
                <w:szCs w:val="20"/>
              </w:rPr>
              <w:t>Scanning tools can include:</w:t>
            </w:r>
          </w:p>
          <w:p w:rsidR="00654E67" w:rsidRPr="008F4A8D" w:rsidRDefault="00654E67" w:rsidP="00962F11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A8D">
              <w:rPr>
                <w:rFonts w:ascii="Arial" w:hAnsi="Arial" w:cs="Arial"/>
                <w:sz w:val="20"/>
                <w:szCs w:val="20"/>
              </w:rPr>
              <w:t>Benchmarking</w:t>
            </w:r>
          </w:p>
          <w:p w:rsidR="00654E67" w:rsidRPr="008F4A8D" w:rsidRDefault="00654E67" w:rsidP="00962F11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A8D">
              <w:rPr>
                <w:rFonts w:ascii="Arial" w:hAnsi="Arial" w:cs="Arial"/>
                <w:sz w:val="20"/>
                <w:szCs w:val="20"/>
              </w:rPr>
              <w:t>Current/best practice reviews</w:t>
            </w:r>
          </w:p>
          <w:p w:rsidR="00654E67" w:rsidRPr="008F4A8D" w:rsidRDefault="00BA554A" w:rsidP="00962F11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A8D">
              <w:rPr>
                <w:rFonts w:ascii="Arial" w:hAnsi="Arial" w:cs="Arial"/>
                <w:sz w:val="20"/>
                <w:szCs w:val="20"/>
              </w:rPr>
              <w:t>Self-assessment</w:t>
            </w:r>
            <w:r w:rsidR="00654E67" w:rsidRPr="008F4A8D">
              <w:rPr>
                <w:rFonts w:ascii="Arial" w:hAnsi="Arial" w:cs="Arial"/>
                <w:sz w:val="20"/>
                <w:szCs w:val="20"/>
              </w:rPr>
              <w:t xml:space="preserve"> tools such as internal evaluation, customer surveys</w:t>
            </w:r>
          </w:p>
          <w:p w:rsidR="00654E67" w:rsidRPr="008F4A8D" w:rsidRDefault="00654E67" w:rsidP="00962F11">
            <w:pPr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A8D">
              <w:rPr>
                <w:rFonts w:ascii="Arial" w:hAnsi="Arial" w:cs="Arial"/>
                <w:sz w:val="20"/>
                <w:szCs w:val="20"/>
              </w:rPr>
              <w:t>News analysis</w:t>
            </w:r>
          </w:p>
          <w:p w:rsidR="00654E67" w:rsidRPr="008F4A8D" w:rsidRDefault="00654E67" w:rsidP="00A53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E67" w:rsidRPr="003D23B8" w:rsidTr="003D23B8">
        <w:trPr>
          <w:trHeight w:val="234"/>
        </w:trPr>
        <w:tc>
          <w:tcPr>
            <w:tcW w:w="2245" w:type="dxa"/>
            <w:vMerge/>
          </w:tcPr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5" w:type="dxa"/>
          </w:tcPr>
          <w:p w:rsidR="00654E67" w:rsidRPr="008F4A8D" w:rsidRDefault="00654E67" w:rsidP="003D23B8">
            <w:pPr>
              <w:pStyle w:val="Subtitle"/>
              <w:tabs>
                <w:tab w:val="right" w:pos="7159"/>
              </w:tabs>
              <w:spacing w:after="0" w:line="240" w:lineRule="auto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8F4A8D">
              <w:rPr>
                <w:rFonts w:ascii="Arial" w:hAnsi="Arial" w:cs="Arial"/>
                <w:i/>
                <w:color w:val="auto"/>
                <w:sz w:val="20"/>
                <w:szCs w:val="20"/>
              </w:rPr>
              <w:t>In this criterion the learner is required to evaluate the application of two or more scanning to</w:t>
            </w:r>
            <w:r w:rsidR="00591A25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ols to strategy development in order to provide a conclusion </w:t>
            </w:r>
            <w:r w:rsidR="006D7238">
              <w:rPr>
                <w:rFonts w:ascii="Arial" w:hAnsi="Arial" w:cs="Arial"/>
                <w:i/>
                <w:color w:val="auto"/>
                <w:sz w:val="20"/>
                <w:szCs w:val="20"/>
              </w:rPr>
              <w:t>as to their usefulness</w:t>
            </w:r>
            <w:r w:rsidR="00591A25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="00654E67" w:rsidRPr="003D23B8" w:rsidTr="003D23B8">
        <w:trPr>
          <w:trHeight w:val="260"/>
        </w:trPr>
        <w:tc>
          <w:tcPr>
            <w:tcW w:w="2245" w:type="dxa"/>
            <w:vMerge w:val="restart"/>
          </w:tcPr>
          <w:p w:rsidR="00654E67" w:rsidRPr="008F4A8D" w:rsidRDefault="00654E67" w:rsidP="00F2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8F4A8D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8F4A8D">
              <w:rPr>
                <w:rFonts w:ascii="Arial" w:hAnsi="Arial" w:cs="Arial"/>
                <w:sz w:val="20"/>
                <w:szCs w:val="20"/>
                <w:lang w:val="en-GB" w:eastAsia="en-GB"/>
              </w:rPr>
              <w:t>Be able to make a contribution to a</w:t>
            </w:r>
          </w:p>
          <w:p w:rsidR="00654E67" w:rsidRPr="008F4A8D" w:rsidRDefault="00654E67" w:rsidP="00F253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A8D">
              <w:rPr>
                <w:rFonts w:ascii="Arial" w:hAnsi="Arial" w:cs="Arial"/>
                <w:sz w:val="20"/>
                <w:szCs w:val="20"/>
                <w:lang w:val="en-GB" w:eastAsia="en-GB"/>
              </w:rPr>
              <w:t>strategic plan</w:t>
            </w:r>
          </w:p>
        </w:tc>
        <w:tc>
          <w:tcPr>
            <w:tcW w:w="3330" w:type="dxa"/>
            <w:vMerge w:val="restart"/>
          </w:tcPr>
          <w:p w:rsidR="00654E67" w:rsidRPr="008F4A8D" w:rsidRDefault="00654E67" w:rsidP="00F25348">
            <w:pPr>
              <w:spacing w:before="36" w:after="0" w:line="287" w:lineRule="exact"/>
              <w:ind w:right="288"/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</w:pPr>
            <w:r w:rsidRPr="008F4A8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3.1 </w:t>
            </w:r>
            <w:r w:rsidRPr="008F4A8D">
              <w:rPr>
                <w:rFonts w:ascii="Arial" w:hAnsi="Arial" w:cs="Arial"/>
                <w:sz w:val="20"/>
                <w:szCs w:val="20"/>
                <w:lang w:val="en-GB" w:eastAsia="en-GB"/>
              </w:rPr>
              <w:t>Analyse the relationship between strategic intentions, strategic choice and strategy formulation</w:t>
            </w:r>
          </w:p>
        </w:tc>
        <w:tc>
          <w:tcPr>
            <w:tcW w:w="7375" w:type="dxa"/>
          </w:tcPr>
          <w:p w:rsidR="00654E67" w:rsidRDefault="00654E67" w:rsidP="00F2534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F4A8D">
              <w:rPr>
                <w:rFonts w:ascii="Arial" w:hAnsi="Arial" w:cs="Arial"/>
                <w:sz w:val="20"/>
                <w:szCs w:val="20"/>
              </w:rPr>
              <w:t>It is important to understand how strategic intentions and strategic choice influence the formulation of the organisation’s strategy.</w:t>
            </w:r>
          </w:p>
          <w:p w:rsidR="005F421B" w:rsidRPr="008F4A8D" w:rsidRDefault="005F421B" w:rsidP="00F2534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54E67" w:rsidRPr="008F4A8D" w:rsidRDefault="00654E67" w:rsidP="00F2534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F4A8D">
              <w:rPr>
                <w:rFonts w:ascii="Arial" w:hAnsi="Arial" w:cs="Arial"/>
                <w:sz w:val="20"/>
                <w:szCs w:val="20"/>
              </w:rPr>
              <w:t>Strategic intentions provide an overview of the means by which the organisation will achieve its vision</w:t>
            </w:r>
            <w:r w:rsidR="005F421B">
              <w:rPr>
                <w:rFonts w:ascii="Arial" w:hAnsi="Arial" w:cs="Arial"/>
                <w:sz w:val="20"/>
                <w:szCs w:val="20"/>
              </w:rPr>
              <w:t>,</w:t>
            </w:r>
            <w:r w:rsidRPr="008F4A8D">
              <w:rPr>
                <w:rFonts w:ascii="Arial" w:hAnsi="Arial" w:cs="Arial"/>
                <w:sz w:val="20"/>
                <w:szCs w:val="20"/>
              </w:rPr>
              <w:t xml:space="preserve"> and strategic choice ensures that strategic options have been generated and evaluated in order to select the most appropriate one(s) for the organisation</w:t>
            </w:r>
          </w:p>
          <w:p w:rsidR="00654E67" w:rsidRPr="008F4A8D" w:rsidRDefault="00654E67" w:rsidP="00F2534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4E67" w:rsidRPr="003D23B8" w:rsidTr="003D23B8">
        <w:trPr>
          <w:trHeight w:val="260"/>
        </w:trPr>
        <w:tc>
          <w:tcPr>
            <w:tcW w:w="2245" w:type="dxa"/>
            <w:vMerge/>
          </w:tcPr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:rsidR="00654E67" w:rsidRPr="008F4A8D" w:rsidRDefault="00654E67" w:rsidP="003D23B8">
            <w:pPr>
              <w:spacing w:before="36" w:after="0" w:line="287" w:lineRule="exact"/>
              <w:ind w:right="288"/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7375" w:type="dxa"/>
          </w:tcPr>
          <w:p w:rsidR="00654E67" w:rsidRPr="008F4A8D" w:rsidRDefault="00654E67" w:rsidP="003D23B8">
            <w:pPr>
              <w:pStyle w:val="Subtitle"/>
              <w:tabs>
                <w:tab w:val="right" w:pos="7159"/>
              </w:tabs>
              <w:spacing w:after="0" w:line="240" w:lineRule="auto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8F4A8D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In this criterion the learner is required to analyse the relationship between strategic intentions </w:t>
            </w:r>
            <w:r w:rsidRPr="008F4A8D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and</w:t>
            </w:r>
            <w:r w:rsidRPr="008F4A8D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strategic choice </w:t>
            </w:r>
            <w:r w:rsidRPr="008F4A8D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and</w:t>
            </w:r>
            <w:r w:rsidRPr="008F4A8D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strategy formulation</w:t>
            </w:r>
            <w:r w:rsidR="005F421B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in order to </w:t>
            </w:r>
            <w:r w:rsidR="005F421B" w:rsidRPr="005F421B">
              <w:rPr>
                <w:rFonts w:ascii="Arial" w:hAnsi="Arial" w:cs="Arial"/>
                <w:i/>
                <w:color w:val="auto"/>
                <w:sz w:val="20"/>
                <w:szCs w:val="20"/>
              </w:rPr>
              <w:t>determine the essential features of each and draw conclusions.</w:t>
            </w:r>
            <w:r w:rsidR="005F421B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="00654E67" w:rsidRPr="003D23B8" w:rsidTr="003D23B8">
        <w:trPr>
          <w:trHeight w:val="699"/>
        </w:trPr>
        <w:tc>
          <w:tcPr>
            <w:tcW w:w="2245" w:type="dxa"/>
            <w:vMerge/>
          </w:tcPr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:rsidR="00654E67" w:rsidRPr="008F4A8D" w:rsidRDefault="00654E67" w:rsidP="00F25348">
            <w:pPr>
              <w:spacing w:before="72" w:after="0" w:line="292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A8D">
              <w:rPr>
                <w:rFonts w:ascii="Arial" w:hAnsi="Arial" w:cs="Arial"/>
                <w:color w:val="000000"/>
                <w:sz w:val="20"/>
                <w:szCs w:val="20"/>
              </w:rPr>
              <w:t xml:space="preserve">3.2 </w:t>
            </w:r>
            <w:r w:rsidRPr="008F4A8D">
              <w:rPr>
                <w:rFonts w:ascii="Arial" w:hAnsi="Arial" w:cs="Arial"/>
                <w:sz w:val="20"/>
                <w:szCs w:val="20"/>
                <w:lang w:val="en-GB" w:eastAsia="en-GB"/>
              </w:rPr>
              <w:t>Make viable contributions that are consistent with strategic objectives and resource constraints</w:t>
            </w:r>
          </w:p>
        </w:tc>
        <w:tc>
          <w:tcPr>
            <w:tcW w:w="7375" w:type="dxa"/>
          </w:tcPr>
          <w:p w:rsidR="00654E67" w:rsidRPr="008F4A8D" w:rsidRDefault="00654E67" w:rsidP="00F253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A8D">
              <w:rPr>
                <w:rFonts w:ascii="Arial" w:hAnsi="Arial" w:cs="Arial"/>
                <w:sz w:val="20"/>
                <w:szCs w:val="20"/>
              </w:rPr>
              <w:t>The contributions that are made to any strategic plan need to be in line with the strategic objectives agreed and in line with the resource constraints identified</w:t>
            </w:r>
          </w:p>
        </w:tc>
      </w:tr>
      <w:tr w:rsidR="00654E67" w:rsidRPr="003D23B8" w:rsidTr="003D23B8">
        <w:trPr>
          <w:trHeight w:val="523"/>
        </w:trPr>
        <w:tc>
          <w:tcPr>
            <w:tcW w:w="2245" w:type="dxa"/>
            <w:vMerge/>
          </w:tcPr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:rsidR="00654E67" w:rsidRPr="008F4A8D" w:rsidRDefault="00654E67" w:rsidP="003D23B8">
            <w:pPr>
              <w:spacing w:before="72" w:after="0" w:line="292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5" w:type="dxa"/>
          </w:tcPr>
          <w:p w:rsidR="00654E67" w:rsidRPr="008F4A8D" w:rsidRDefault="00654E67" w:rsidP="003D23B8">
            <w:pPr>
              <w:pStyle w:val="Subtitle"/>
              <w:tabs>
                <w:tab w:val="right" w:pos="7159"/>
              </w:tabs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F4A8D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In this criterion the learner is required to </w:t>
            </w:r>
            <w:r w:rsidR="007F309A">
              <w:rPr>
                <w:rFonts w:ascii="Arial" w:hAnsi="Arial" w:cs="Arial"/>
                <w:i/>
                <w:color w:val="auto"/>
                <w:sz w:val="20"/>
                <w:szCs w:val="20"/>
              </w:rPr>
              <w:t>provide evidence that he or she has</w:t>
            </w:r>
            <w:r w:rsidRPr="008F4A8D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made two or more viable contributions to the strategic plan that are consistent with both strategic objectives </w:t>
            </w:r>
            <w:r w:rsidRPr="008F4A8D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and</w:t>
            </w:r>
            <w:r w:rsidRPr="008F4A8D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resource constraints</w:t>
            </w:r>
          </w:p>
        </w:tc>
      </w:tr>
    </w:tbl>
    <w:p w:rsidR="00B21872" w:rsidRDefault="00B2187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45"/>
        <w:gridCol w:w="3330"/>
        <w:gridCol w:w="7375"/>
      </w:tblGrid>
      <w:tr w:rsidR="00654E67" w:rsidRPr="003D23B8" w:rsidTr="00EC353C">
        <w:trPr>
          <w:trHeight w:val="557"/>
        </w:trPr>
        <w:tc>
          <w:tcPr>
            <w:tcW w:w="2245" w:type="dxa"/>
            <w:vMerge w:val="restart"/>
          </w:tcPr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:rsidR="00654E67" w:rsidRPr="008F4A8D" w:rsidRDefault="00654E67" w:rsidP="00F2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4A8D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3.3 </w:t>
            </w:r>
            <w:r w:rsidRPr="008F4A8D">
              <w:rPr>
                <w:rFonts w:ascii="Arial" w:hAnsi="Arial" w:cs="Arial"/>
                <w:sz w:val="20"/>
                <w:szCs w:val="20"/>
                <w:lang w:val="en-GB" w:eastAsia="en-GB"/>
              </w:rPr>
              <w:t>Evaluate the impact of a proposed strategy on a business</w:t>
            </w:r>
          </w:p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:rsidR="003104D9" w:rsidRDefault="003104D9" w:rsidP="00F2534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Johnson and Scholes </w:t>
            </w:r>
            <w:r w:rsidRPr="008A3E60">
              <w:rPr>
                <w:rFonts w:ascii="Arial" w:hAnsi="Arial" w:cs="Arial"/>
                <w:i/>
                <w:sz w:val="20"/>
                <w:szCs w:val="20"/>
              </w:rPr>
              <w:t>et al</w:t>
            </w:r>
            <w:r>
              <w:rPr>
                <w:rFonts w:ascii="Arial" w:hAnsi="Arial" w:cs="Arial"/>
                <w:sz w:val="20"/>
                <w:szCs w:val="20"/>
              </w:rPr>
              <w:t xml:space="preserve"> note that there are three types of evaluation criteria that can be used:</w:t>
            </w:r>
          </w:p>
          <w:p w:rsidR="003104D9" w:rsidRDefault="003104D9" w:rsidP="003104D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Suitability – does the strategy address the circumstances in which the organisation is operating?</w:t>
            </w:r>
          </w:p>
          <w:p w:rsidR="003104D9" w:rsidRDefault="003104D9" w:rsidP="003104D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Acceptability - are the expected performance outcomes (such as return and risk) in line with the expectations of stakeholders?</w:t>
            </w:r>
          </w:p>
          <w:p w:rsidR="003104D9" w:rsidRDefault="003104D9" w:rsidP="003104D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Feasibility – could the strategy be made to work in practice?</w:t>
            </w:r>
          </w:p>
          <w:p w:rsidR="00654E67" w:rsidRPr="00BA77F8" w:rsidRDefault="008A3E60" w:rsidP="00BA77F8">
            <w:pPr>
              <w:pStyle w:val="ListParagraph"/>
              <w:spacing w:after="0" w:line="240" w:lineRule="auto"/>
              <w:ind w:left="78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8A3E60">
              <w:rPr>
                <w:rFonts w:ascii="Arial" w:hAnsi="Arial" w:cs="Arial"/>
                <w:i/>
                <w:sz w:val="20"/>
                <w:szCs w:val="20"/>
              </w:rPr>
              <w:t>(Exploring Corporate Strategy)</w:t>
            </w:r>
          </w:p>
        </w:tc>
      </w:tr>
      <w:tr w:rsidR="00654E67" w:rsidRPr="003D23B8" w:rsidTr="00EC353C">
        <w:trPr>
          <w:trHeight w:val="50"/>
        </w:trPr>
        <w:tc>
          <w:tcPr>
            <w:tcW w:w="2245" w:type="dxa"/>
            <w:vMerge/>
          </w:tcPr>
          <w:p w:rsidR="00654E67" w:rsidRPr="008F4A8D" w:rsidRDefault="00654E67" w:rsidP="003D23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vMerge/>
          </w:tcPr>
          <w:p w:rsidR="00654E67" w:rsidRPr="008F4A8D" w:rsidRDefault="00654E67" w:rsidP="003D23B8">
            <w:pPr>
              <w:spacing w:after="0" w:line="300" w:lineRule="exact"/>
              <w:ind w:right="288"/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7375" w:type="dxa"/>
          </w:tcPr>
          <w:p w:rsidR="00654E67" w:rsidRPr="008F4A8D" w:rsidRDefault="00654E67" w:rsidP="007E3E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4A8D">
              <w:rPr>
                <w:rFonts w:ascii="Arial" w:hAnsi="Arial" w:cs="Arial"/>
                <w:i/>
                <w:sz w:val="20"/>
                <w:szCs w:val="20"/>
              </w:rPr>
              <w:t>In this criterion the learner is required to evaluate the impact of a proposed strategy on a business</w:t>
            </w:r>
          </w:p>
        </w:tc>
      </w:tr>
    </w:tbl>
    <w:p w:rsidR="00654E67" w:rsidRDefault="00654E67"/>
    <w:sectPr w:rsidR="00654E67" w:rsidSect="001016C1">
      <w:headerReference w:type="default" r:id="rId10"/>
      <w:footerReference w:type="default" r:id="rId11"/>
      <w:pgSz w:w="15840" w:h="12240" w:orient="landscape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6FE" w:rsidRDefault="008C76FE" w:rsidP="00680E2E">
      <w:pPr>
        <w:spacing w:after="0" w:line="240" w:lineRule="auto"/>
      </w:pPr>
      <w:r>
        <w:separator/>
      </w:r>
    </w:p>
  </w:endnote>
  <w:endnote w:type="continuationSeparator" w:id="0">
    <w:p w:rsidR="008C76FE" w:rsidRDefault="008C76FE" w:rsidP="0068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0A4" w:rsidRDefault="00F670A4" w:rsidP="00F670A4">
    <w:pPr>
      <w:spacing w:after="0" w:line="240" w:lineRule="auto"/>
      <w:rPr>
        <w:rFonts w:ascii="Arial" w:hAnsi="Arial" w:cs="Arial"/>
        <w:sz w:val="20"/>
        <w:lang w:val="en-GB"/>
      </w:rPr>
    </w:pPr>
    <w:r>
      <w:rPr>
        <w:rFonts w:ascii="Arial" w:hAnsi="Arial" w:cs="Arial"/>
        <w:sz w:val="20"/>
      </w:rPr>
      <w:t xml:space="preserve">Awarded by City &amp; Guilds </w:t>
    </w:r>
  </w:p>
  <w:p w:rsidR="00F670A4" w:rsidRDefault="009650F8" w:rsidP="00F670A4">
    <w:pPr>
      <w:tabs>
        <w:tab w:val="left" w:pos="6930"/>
      </w:tabs>
      <w:spacing w:after="0" w:line="240" w:lineRule="auto"/>
      <w:rPr>
        <w:rFonts w:ascii="Arial" w:hAnsi="Arial" w:cs="Arial"/>
        <w:sz w:val="20"/>
      </w:rPr>
    </w:pPr>
    <w:r w:rsidRPr="009650F8">
      <w:rPr>
        <w:rFonts w:ascii="Arial" w:hAnsi="Arial" w:cs="Arial"/>
        <w:sz w:val="20"/>
      </w:rPr>
      <w:t>M&amp;L 45 Contribute to the development of a strategic plan</w:t>
    </w:r>
    <w:r w:rsidR="00F670A4">
      <w:rPr>
        <w:rFonts w:ascii="Arial" w:hAnsi="Arial" w:cs="Arial"/>
        <w:sz w:val="20"/>
      </w:rPr>
      <w:tab/>
    </w:r>
  </w:p>
  <w:p w:rsidR="001016C1" w:rsidRDefault="00F670A4" w:rsidP="00F670A4">
    <w:pPr>
      <w:pStyle w:val="Footer"/>
    </w:pPr>
    <w:r>
      <w:rPr>
        <w:rFonts w:ascii="Arial" w:hAnsi="Arial" w:cs="Arial"/>
        <w:sz w:val="20"/>
      </w:rPr>
      <w:t xml:space="preserve">Version 1.0 (February 2016) 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9650F8"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  \* MERGEFORMAT </w:instrText>
    </w:r>
    <w:r>
      <w:rPr>
        <w:rFonts w:ascii="Arial" w:hAnsi="Arial" w:cs="Arial"/>
        <w:sz w:val="20"/>
      </w:rPr>
      <w:fldChar w:fldCharType="separate"/>
    </w:r>
    <w:r w:rsidR="00FB5938">
      <w:rPr>
        <w:rFonts w:ascii="Arial" w:hAnsi="Arial" w:cs="Arial"/>
        <w:noProof/>
        <w:sz w:val="20"/>
      </w:rPr>
      <w:t>4</w:t>
    </w:r>
    <w:r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6FE" w:rsidRDefault="008C76FE" w:rsidP="00680E2E">
      <w:pPr>
        <w:spacing w:after="0" w:line="240" w:lineRule="auto"/>
      </w:pPr>
      <w:r>
        <w:separator/>
      </w:r>
    </w:p>
  </w:footnote>
  <w:footnote w:type="continuationSeparator" w:id="0">
    <w:p w:rsidR="008C76FE" w:rsidRDefault="008C76FE" w:rsidP="00680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6C1" w:rsidRDefault="00FB5938" w:rsidP="001016C1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204952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4B0C"/>
    <w:multiLevelType w:val="hybridMultilevel"/>
    <w:tmpl w:val="A5F88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CC4"/>
    <w:multiLevelType w:val="hybridMultilevel"/>
    <w:tmpl w:val="74A2F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0E4C"/>
    <w:multiLevelType w:val="hybridMultilevel"/>
    <w:tmpl w:val="45F4F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C218A"/>
    <w:multiLevelType w:val="hybridMultilevel"/>
    <w:tmpl w:val="AA60D8BE"/>
    <w:lvl w:ilvl="0" w:tplc="85EAE75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E2947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BE748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12938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6A62C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B20C6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A6F0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00181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46BA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A1DF4"/>
    <w:multiLevelType w:val="hybridMultilevel"/>
    <w:tmpl w:val="C68EEE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35BCD"/>
    <w:multiLevelType w:val="hybridMultilevel"/>
    <w:tmpl w:val="151C12D8"/>
    <w:lvl w:ilvl="0" w:tplc="3D10218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DA72E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5ED96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925E7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20687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D4B0A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808A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6C61C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03B8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A77BA"/>
    <w:multiLevelType w:val="hybridMultilevel"/>
    <w:tmpl w:val="D4E61792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 w15:restartNumberingAfterBreak="0">
    <w:nsid w:val="15312FE6"/>
    <w:multiLevelType w:val="hybridMultilevel"/>
    <w:tmpl w:val="AA1C7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953B4"/>
    <w:multiLevelType w:val="hybridMultilevel"/>
    <w:tmpl w:val="E97CD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E0C69"/>
    <w:multiLevelType w:val="multilevel"/>
    <w:tmpl w:val="BA3C18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3E724A"/>
    <w:multiLevelType w:val="hybridMultilevel"/>
    <w:tmpl w:val="C10A4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A6856"/>
    <w:multiLevelType w:val="hybridMultilevel"/>
    <w:tmpl w:val="038ED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05CDF"/>
    <w:multiLevelType w:val="hybridMultilevel"/>
    <w:tmpl w:val="39DE8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85749"/>
    <w:multiLevelType w:val="hybridMultilevel"/>
    <w:tmpl w:val="C49C51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238F1"/>
    <w:multiLevelType w:val="hybridMultilevel"/>
    <w:tmpl w:val="7A8481D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94138CA"/>
    <w:multiLevelType w:val="hybridMultilevel"/>
    <w:tmpl w:val="CA861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C5239"/>
    <w:multiLevelType w:val="hybridMultilevel"/>
    <w:tmpl w:val="59BC0D16"/>
    <w:lvl w:ilvl="0" w:tplc="08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7" w15:restartNumberingAfterBreak="0">
    <w:nsid w:val="416A2F6F"/>
    <w:multiLevelType w:val="hybridMultilevel"/>
    <w:tmpl w:val="D26647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552F7"/>
    <w:multiLevelType w:val="hybridMultilevel"/>
    <w:tmpl w:val="44FA7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A5339"/>
    <w:multiLevelType w:val="hybridMultilevel"/>
    <w:tmpl w:val="090E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A6450"/>
    <w:multiLevelType w:val="hybridMultilevel"/>
    <w:tmpl w:val="5A1C74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E1043"/>
    <w:multiLevelType w:val="hybridMultilevel"/>
    <w:tmpl w:val="0ACCA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22A0D"/>
    <w:multiLevelType w:val="hybridMultilevel"/>
    <w:tmpl w:val="FC422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A2605"/>
    <w:multiLevelType w:val="hybridMultilevel"/>
    <w:tmpl w:val="778A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02F26D4"/>
    <w:multiLevelType w:val="hybridMultilevel"/>
    <w:tmpl w:val="22D845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561FD"/>
    <w:multiLevelType w:val="hybridMultilevel"/>
    <w:tmpl w:val="D690EF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17695"/>
    <w:multiLevelType w:val="hybridMultilevel"/>
    <w:tmpl w:val="F476F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C1B85"/>
    <w:multiLevelType w:val="hybridMultilevel"/>
    <w:tmpl w:val="E21ABBE0"/>
    <w:lvl w:ilvl="0" w:tplc="2200D78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3E6C3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B61A4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0295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AA1B3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EE025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36A3B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5C4AD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E678E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930D69"/>
    <w:multiLevelType w:val="hybridMultilevel"/>
    <w:tmpl w:val="6DD88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55568"/>
    <w:multiLevelType w:val="hybridMultilevel"/>
    <w:tmpl w:val="9BB61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741C2"/>
    <w:multiLevelType w:val="hybridMultilevel"/>
    <w:tmpl w:val="03345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E54DC"/>
    <w:multiLevelType w:val="hybridMultilevel"/>
    <w:tmpl w:val="848425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60A5D"/>
    <w:multiLevelType w:val="multilevel"/>
    <w:tmpl w:val="6884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4721C4"/>
    <w:multiLevelType w:val="hybridMultilevel"/>
    <w:tmpl w:val="3ABCA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19"/>
  </w:num>
  <w:num w:numId="4">
    <w:abstractNumId w:val="8"/>
  </w:num>
  <w:num w:numId="5">
    <w:abstractNumId w:val="26"/>
  </w:num>
  <w:num w:numId="6">
    <w:abstractNumId w:val="18"/>
  </w:num>
  <w:num w:numId="7">
    <w:abstractNumId w:val="0"/>
  </w:num>
  <w:num w:numId="8">
    <w:abstractNumId w:val="7"/>
  </w:num>
  <w:num w:numId="9">
    <w:abstractNumId w:val="9"/>
  </w:num>
  <w:num w:numId="10">
    <w:abstractNumId w:val="30"/>
  </w:num>
  <w:num w:numId="11">
    <w:abstractNumId w:val="10"/>
  </w:num>
  <w:num w:numId="12">
    <w:abstractNumId w:val="22"/>
  </w:num>
  <w:num w:numId="13">
    <w:abstractNumId w:val="1"/>
  </w:num>
  <w:num w:numId="14">
    <w:abstractNumId w:val="6"/>
  </w:num>
  <w:num w:numId="15">
    <w:abstractNumId w:val="21"/>
  </w:num>
  <w:num w:numId="16">
    <w:abstractNumId w:val="28"/>
  </w:num>
  <w:num w:numId="17">
    <w:abstractNumId w:val="3"/>
  </w:num>
  <w:num w:numId="18">
    <w:abstractNumId w:val="27"/>
  </w:num>
  <w:num w:numId="19">
    <w:abstractNumId w:val="5"/>
  </w:num>
  <w:num w:numId="20">
    <w:abstractNumId w:val="29"/>
  </w:num>
  <w:num w:numId="21">
    <w:abstractNumId w:val="33"/>
  </w:num>
  <w:num w:numId="22">
    <w:abstractNumId w:val="16"/>
  </w:num>
  <w:num w:numId="23">
    <w:abstractNumId w:val="2"/>
  </w:num>
  <w:num w:numId="24">
    <w:abstractNumId w:val="12"/>
  </w:num>
  <w:num w:numId="25">
    <w:abstractNumId w:val="15"/>
  </w:num>
  <w:num w:numId="26">
    <w:abstractNumId w:val="31"/>
  </w:num>
  <w:num w:numId="27">
    <w:abstractNumId w:val="17"/>
  </w:num>
  <w:num w:numId="28">
    <w:abstractNumId w:val="20"/>
  </w:num>
  <w:num w:numId="29">
    <w:abstractNumId w:val="32"/>
  </w:num>
  <w:num w:numId="30">
    <w:abstractNumId w:val="4"/>
  </w:num>
  <w:num w:numId="31">
    <w:abstractNumId w:val="25"/>
  </w:num>
  <w:num w:numId="32">
    <w:abstractNumId w:val="13"/>
  </w:num>
  <w:num w:numId="33">
    <w:abstractNumId w:val="24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E4"/>
    <w:rsid w:val="00001786"/>
    <w:rsid w:val="0001718F"/>
    <w:rsid w:val="00024BAC"/>
    <w:rsid w:val="000270CE"/>
    <w:rsid w:val="00041571"/>
    <w:rsid w:val="00044CA4"/>
    <w:rsid w:val="00057FEE"/>
    <w:rsid w:val="00067590"/>
    <w:rsid w:val="00073398"/>
    <w:rsid w:val="00073A5B"/>
    <w:rsid w:val="00094874"/>
    <w:rsid w:val="0009576C"/>
    <w:rsid w:val="000A3041"/>
    <w:rsid w:val="000A4AF3"/>
    <w:rsid w:val="000A599B"/>
    <w:rsid w:val="000B0E08"/>
    <w:rsid w:val="000D0C54"/>
    <w:rsid w:val="000D100F"/>
    <w:rsid w:val="000D7843"/>
    <w:rsid w:val="000F577A"/>
    <w:rsid w:val="000F7B67"/>
    <w:rsid w:val="001016C1"/>
    <w:rsid w:val="00102D95"/>
    <w:rsid w:val="00116BB2"/>
    <w:rsid w:val="00117BFB"/>
    <w:rsid w:val="001209B4"/>
    <w:rsid w:val="00126684"/>
    <w:rsid w:val="00136457"/>
    <w:rsid w:val="00137BC2"/>
    <w:rsid w:val="00150361"/>
    <w:rsid w:val="00170CBC"/>
    <w:rsid w:val="00171B56"/>
    <w:rsid w:val="00173291"/>
    <w:rsid w:val="00174C3B"/>
    <w:rsid w:val="0018581B"/>
    <w:rsid w:val="0018646D"/>
    <w:rsid w:val="00187563"/>
    <w:rsid w:val="00192AF9"/>
    <w:rsid w:val="001B224A"/>
    <w:rsid w:val="001B3D4B"/>
    <w:rsid w:val="001C1EC5"/>
    <w:rsid w:val="001D4C91"/>
    <w:rsid w:val="001E01E6"/>
    <w:rsid w:val="001E174A"/>
    <w:rsid w:val="001E6D59"/>
    <w:rsid w:val="002227F9"/>
    <w:rsid w:val="00244BE4"/>
    <w:rsid w:val="00257A5D"/>
    <w:rsid w:val="00280499"/>
    <w:rsid w:val="0028269E"/>
    <w:rsid w:val="002900C4"/>
    <w:rsid w:val="002A7CF0"/>
    <w:rsid w:val="002C0C3C"/>
    <w:rsid w:val="002C59A2"/>
    <w:rsid w:val="002C623E"/>
    <w:rsid w:val="002C7DB5"/>
    <w:rsid w:val="002D3D18"/>
    <w:rsid w:val="002E2532"/>
    <w:rsid w:val="002E3736"/>
    <w:rsid w:val="003104D9"/>
    <w:rsid w:val="00314581"/>
    <w:rsid w:val="00315FFC"/>
    <w:rsid w:val="00322343"/>
    <w:rsid w:val="003500B6"/>
    <w:rsid w:val="003561D4"/>
    <w:rsid w:val="00357C8A"/>
    <w:rsid w:val="003724DC"/>
    <w:rsid w:val="003801C5"/>
    <w:rsid w:val="0039062B"/>
    <w:rsid w:val="00391D0E"/>
    <w:rsid w:val="0039621E"/>
    <w:rsid w:val="00397EBE"/>
    <w:rsid w:val="003A3CE4"/>
    <w:rsid w:val="003B6C45"/>
    <w:rsid w:val="003C0833"/>
    <w:rsid w:val="003D0628"/>
    <w:rsid w:val="003D23B8"/>
    <w:rsid w:val="003D465B"/>
    <w:rsid w:val="003F0D2F"/>
    <w:rsid w:val="00411C14"/>
    <w:rsid w:val="0041533E"/>
    <w:rsid w:val="00423CF1"/>
    <w:rsid w:val="0042466D"/>
    <w:rsid w:val="0042635E"/>
    <w:rsid w:val="00435967"/>
    <w:rsid w:val="00437418"/>
    <w:rsid w:val="004379BD"/>
    <w:rsid w:val="00437D70"/>
    <w:rsid w:val="00450419"/>
    <w:rsid w:val="00452935"/>
    <w:rsid w:val="004572AD"/>
    <w:rsid w:val="00464853"/>
    <w:rsid w:val="00467194"/>
    <w:rsid w:val="004719C9"/>
    <w:rsid w:val="0047588C"/>
    <w:rsid w:val="00480A5F"/>
    <w:rsid w:val="004961BC"/>
    <w:rsid w:val="00497EDF"/>
    <w:rsid w:val="004C5ECD"/>
    <w:rsid w:val="004D16EA"/>
    <w:rsid w:val="004D3021"/>
    <w:rsid w:val="004E253C"/>
    <w:rsid w:val="004E2BE3"/>
    <w:rsid w:val="004E3C12"/>
    <w:rsid w:val="004F0C83"/>
    <w:rsid w:val="004F2E22"/>
    <w:rsid w:val="00502376"/>
    <w:rsid w:val="00502BB5"/>
    <w:rsid w:val="00510848"/>
    <w:rsid w:val="005351C0"/>
    <w:rsid w:val="0054009C"/>
    <w:rsid w:val="00543EBE"/>
    <w:rsid w:val="00544FDA"/>
    <w:rsid w:val="00545568"/>
    <w:rsid w:val="00547E57"/>
    <w:rsid w:val="00556653"/>
    <w:rsid w:val="00564F5E"/>
    <w:rsid w:val="00591A25"/>
    <w:rsid w:val="005961C8"/>
    <w:rsid w:val="005B19B4"/>
    <w:rsid w:val="005B3858"/>
    <w:rsid w:val="005B79A5"/>
    <w:rsid w:val="005C53D9"/>
    <w:rsid w:val="005D4F7E"/>
    <w:rsid w:val="005F0BEC"/>
    <w:rsid w:val="005F1647"/>
    <w:rsid w:val="005F421B"/>
    <w:rsid w:val="005F63EF"/>
    <w:rsid w:val="005F6D1C"/>
    <w:rsid w:val="0060675D"/>
    <w:rsid w:val="006138CD"/>
    <w:rsid w:val="00617926"/>
    <w:rsid w:val="00631D41"/>
    <w:rsid w:val="0063360B"/>
    <w:rsid w:val="00635D28"/>
    <w:rsid w:val="006475C6"/>
    <w:rsid w:val="00651C2C"/>
    <w:rsid w:val="00653275"/>
    <w:rsid w:val="006535A1"/>
    <w:rsid w:val="00654E67"/>
    <w:rsid w:val="006706A6"/>
    <w:rsid w:val="00680E2E"/>
    <w:rsid w:val="0068621B"/>
    <w:rsid w:val="00690DA1"/>
    <w:rsid w:val="00696A36"/>
    <w:rsid w:val="006A6595"/>
    <w:rsid w:val="006B0399"/>
    <w:rsid w:val="006B2278"/>
    <w:rsid w:val="006D1212"/>
    <w:rsid w:val="006D7238"/>
    <w:rsid w:val="006E1372"/>
    <w:rsid w:val="006E21D9"/>
    <w:rsid w:val="006F5D55"/>
    <w:rsid w:val="00706C2E"/>
    <w:rsid w:val="00710481"/>
    <w:rsid w:val="00713CAA"/>
    <w:rsid w:val="007322F4"/>
    <w:rsid w:val="00736097"/>
    <w:rsid w:val="007409A5"/>
    <w:rsid w:val="00741329"/>
    <w:rsid w:val="00754E70"/>
    <w:rsid w:val="0075502F"/>
    <w:rsid w:val="00761EC8"/>
    <w:rsid w:val="00763ABF"/>
    <w:rsid w:val="00775E5B"/>
    <w:rsid w:val="00795F1C"/>
    <w:rsid w:val="00796C12"/>
    <w:rsid w:val="00797D35"/>
    <w:rsid w:val="007A02F0"/>
    <w:rsid w:val="007A20CA"/>
    <w:rsid w:val="007D0331"/>
    <w:rsid w:val="007D0AF8"/>
    <w:rsid w:val="007E3E52"/>
    <w:rsid w:val="007F309A"/>
    <w:rsid w:val="00805942"/>
    <w:rsid w:val="0082547F"/>
    <w:rsid w:val="008354E4"/>
    <w:rsid w:val="0086095B"/>
    <w:rsid w:val="008663F4"/>
    <w:rsid w:val="00884092"/>
    <w:rsid w:val="008932A3"/>
    <w:rsid w:val="00896529"/>
    <w:rsid w:val="008A099E"/>
    <w:rsid w:val="008A16A8"/>
    <w:rsid w:val="008A39AD"/>
    <w:rsid w:val="008A3E60"/>
    <w:rsid w:val="008B592B"/>
    <w:rsid w:val="008B7205"/>
    <w:rsid w:val="008C0999"/>
    <w:rsid w:val="008C6E87"/>
    <w:rsid w:val="008C76FE"/>
    <w:rsid w:val="008D5F5C"/>
    <w:rsid w:val="008E7B58"/>
    <w:rsid w:val="008F4A8D"/>
    <w:rsid w:val="00906BED"/>
    <w:rsid w:val="00907B56"/>
    <w:rsid w:val="00912F84"/>
    <w:rsid w:val="00934AE1"/>
    <w:rsid w:val="009372AC"/>
    <w:rsid w:val="00950459"/>
    <w:rsid w:val="00956CD9"/>
    <w:rsid w:val="00962F11"/>
    <w:rsid w:val="009650F8"/>
    <w:rsid w:val="009B46E1"/>
    <w:rsid w:val="009B7166"/>
    <w:rsid w:val="009E5C3F"/>
    <w:rsid w:val="009F44D3"/>
    <w:rsid w:val="009F587D"/>
    <w:rsid w:val="00A00B4D"/>
    <w:rsid w:val="00A00D1F"/>
    <w:rsid w:val="00A02FD3"/>
    <w:rsid w:val="00A061F4"/>
    <w:rsid w:val="00A202B8"/>
    <w:rsid w:val="00A23266"/>
    <w:rsid w:val="00A4199C"/>
    <w:rsid w:val="00A52394"/>
    <w:rsid w:val="00A53EDA"/>
    <w:rsid w:val="00A62758"/>
    <w:rsid w:val="00A6502D"/>
    <w:rsid w:val="00A65E4B"/>
    <w:rsid w:val="00A7002E"/>
    <w:rsid w:val="00A7179A"/>
    <w:rsid w:val="00A84B7E"/>
    <w:rsid w:val="00A87833"/>
    <w:rsid w:val="00A87F1C"/>
    <w:rsid w:val="00A9020E"/>
    <w:rsid w:val="00AA4BF5"/>
    <w:rsid w:val="00AC31B0"/>
    <w:rsid w:val="00AD1569"/>
    <w:rsid w:val="00AD23E8"/>
    <w:rsid w:val="00AE3EF2"/>
    <w:rsid w:val="00AE5211"/>
    <w:rsid w:val="00B16C86"/>
    <w:rsid w:val="00B16CFD"/>
    <w:rsid w:val="00B21872"/>
    <w:rsid w:val="00B30752"/>
    <w:rsid w:val="00B31385"/>
    <w:rsid w:val="00B32204"/>
    <w:rsid w:val="00B43F0B"/>
    <w:rsid w:val="00B53890"/>
    <w:rsid w:val="00B554CF"/>
    <w:rsid w:val="00B63D2C"/>
    <w:rsid w:val="00B7021F"/>
    <w:rsid w:val="00B83D0B"/>
    <w:rsid w:val="00BA554A"/>
    <w:rsid w:val="00BA77F8"/>
    <w:rsid w:val="00BB3208"/>
    <w:rsid w:val="00BC2407"/>
    <w:rsid w:val="00BC6C65"/>
    <w:rsid w:val="00BC6F19"/>
    <w:rsid w:val="00BD4E7D"/>
    <w:rsid w:val="00BE1409"/>
    <w:rsid w:val="00BE1E2B"/>
    <w:rsid w:val="00BE311C"/>
    <w:rsid w:val="00BF13FF"/>
    <w:rsid w:val="00BF408B"/>
    <w:rsid w:val="00BF519F"/>
    <w:rsid w:val="00C05B3D"/>
    <w:rsid w:val="00C113C6"/>
    <w:rsid w:val="00C13898"/>
    <w:rsid w:val="00C1730F"/>
    <w:rsid w:val="00C21456"/>
    <w:rsid w:val="00C35CDD"/>
    <w:rsid w:val="00C369F4"/>
    <w:rsid w:val="00C42AC6"/>
    <w:rsid w:val="00C518E1"/>
    <w:rsid w:val="00C54EC1"/>
    <w:rsid w:val="00C560DD"/>
    <w:rsid w:val="00C56FD7"/>
    <w:rsid w:val="00C6499F"/>
    <w:rsid w:val="00C66F38"/>
    <w:rsid w:val="00C702BB"/>
    <w:rsid w:val="00C74932"/>
    <w:rsid w:val="00C74FF2"/>
    <w:rsid w:val="00CA7227"/>
    <w:rsid w:val="00CB1F80"/>
    <w:rsid w:val="00CC3D9C"/>
    <w:rsid w:val="00CD2D0C"/>
    <w:rsid w:val="00CE2E90"/>
    <w:rsid w:val="00CE47D2"/>
    <w:rsid w:val="00CE56FE"/>
    <w:rsid w:val="00D04B2E"/>
    <w:rsid w:val="00D14B7C"/>
    <w:rsid w:val="00D22649"/>
    <w:rsid w:val="00D22D4C"/>
    <w:rsid w:val="00D35AE0"/>
    <w:rsid w:val="00D4275C"/>
    <w:rsid w:val="00D509DA"/>
    <w:rsid w:val="00D63073"/>
    <w:rsid w:val="00D65F9C"/>
    <w:rsid w:val="00D75BF2"/>
    <w:rsid w:val="00D866CD"/>
    <w:rsid w:val="00D8772D"/>
    <w:rsid w:val="00D91C24"/>
    <w:rsid w:val="00D93199"/>
    <w:rsid w:val="00DA3207"/>
    <w:rsid w:val="00DC648D"/>
    <w:rsid w:val="00DD22A0"/>
    <w:rsid w:val="00DE34A1"/>
    <w:rsid w:val="00DE629A"/>
    <w:rsid w:val="00E0393B"/>
    <w:rsid w:val="00E274EC"/>
    <w:rsid w:val="00E27D63"/>
    <w:rsid w:val="00E43E8D"/>
    <w:rsid w:val="00E43FE6"/>
    <w:rsid w:val="00E7593E"/>
    <w:rsid w:val="00E77599"/>
    <w:rsid w:val="00E9146A"/>
    <w:rsid w:val="00EA0A4C"/>
    <w:rsid w:val="00EA304E"/>
    <w:rsid w:val="00EA422E"/>
    <w:rsid w:val="00EB25E1"/>
    <w:rsid w:val="00EB5F09"/>
    <w:rsid w:val="00EC3157"/>
    <w:rsid w:val="00EC353C"/>
    <w:rsid w:val="00EC40A8"/>
    <w:rsid w:val="00EE22CC"/>
    <w:rsid w:val="00EF56A1"/>
    <w:rsid w:val="00F00C56"/>
    <w:rsid w:val="00F07AA5"/>
    <w:rsid w:val="00F17F2D"/>
    <w:rsid w:val="00F17F6F"/>
    <w:rsid w:val="00F25348"/>
    <w:rsid w:val="00F259EA"/>
    <w:rsid w:val="00F31B62"/>
    <w:rsid w:val="00F442A6"/>
    <w:rsid w:val="00F46AB7"/>
    <w:rsid w:val="00F52250"/>
    <w:rsid w:val="00F62377"/>
    <w:rsid w:val="00F66A76"/>
    <w:rsid w:val="00F670A4"/>
    <w:rsid w:val="00FA49A0"/>
    <w:rsid w:val="00FB5938"/>
    <w:rsid w:val="00FC1077"/>
    <w:rsid w:val="00FD5C17"/>
    <w:rsid w:val="00FD79EE"/>
    <w:rsid w:val="00FE2374"/>
    <w:rsid w:val="00F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F63C767-A509-4B31-8749-ECA35073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D1C"/>
    <w:pPr>
      <w:spacing w:after="160" w:line="259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319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5E5B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8254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9319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75E5B"/>
    <w:rPr>
      <w:rFonts w:ascii="Calibri Light" w:hAnsi="Calibri Light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2547F"/>
    <w:rPr>
      <w:rFonts w:ascii="Times New Roman" w:hAnsi="Times New Roman" w:cs="Times New Roman"/>
      <w:b/>
      <w:bCs/>
      <w:sz w:val="27"/>
      <w:szCs w:val="27"/>
      <w:lang w:val="en-GB" w:eastAsia="en-GB"/>
    </w:rPr>
  </w:style>
  <w:style w:type="table" w:styleId="TableGrid">
    <w:name w:val="Table Grid"/>
    <w:basedOn w:val="TableNormal"/>
    <w:uiPriority w:val="99"/>
    <w:rsid w:val="00411C1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A6595"/>
    <w:pPr>
      <w:ind w:left="720"/>
      <w:contextualSpacing/>
    </w:pPr>
  </w:style>
  <w:style w:type="paragraph" w:styleId="NoSpacing">
    <w:name w:val="No Spacing"/>
    <w:uiPriority w:val="99"/>
    <w:qFormat/>
    <w:rsid w:val="00D93199"/>
    <w:rPr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D93199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93199"/>
    <w:rPr>
      <w:rFonts w:eastAsia="Times New Roman" w:cs="Times New Roman"/>
      <w:color w:val="5A5A5A"/>
      <w:spacing w:val="15"/>
    </w:rPr>
  </w:style>
  <w:style w:type="paragraph" w:styleId="Header">
    <w:name w:val="header"/>
    <w:basedOn w:val="Normal"/>
    <w:link w:val="HeaderChar"/>
    <w:uiPriority w:val="99"/>
    <w:rsid w:val="0068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80E2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8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80E2E"/>
    <w:rPr>
      <w:rFonts w:cs="Times New Roman"/>
    </w:rPr>
  </w:style>
  <w:style w:type="paragraph" w:styleId="NormalWeb">
    <w:name w:val="Normal (Web)"/>
    <w:basedOn w:val="Normal"/>
    <w:uiPriority w:val="99"/>
    <w:semiHidden/>
    <w:rsid w:val="008254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uiPriority w:val="99"/>
    <w:rsid w:val="0082547F"/>
    <w:rPr>
      <w:rFonts w:cs="Times New Roman"/>
    </w:rPr>
  </w:style>
  <w:style w:type="character" w:styleId="Hyperlink">
    <w:name w:val="Hyperlink"/>
    <w:basedOn w:val="DefaultParagraphFont"/>
    <w:uiPriority w:val="99"/>
    <w:rsid w:val="00467194"/>
    <w:rPr>
      <w:rFonts w:cs="Times New Roman"/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63AB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63A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63A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63A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3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4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4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4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4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33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3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3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4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4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33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3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4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4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34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4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4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4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33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3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38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3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39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4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4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33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3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4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4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33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4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3393">
          <w:marLeft w:val="48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3384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3422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50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3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3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4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4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  <Value>VRQ</Value>
    </Qualification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</Terms>
    </j5a7449248d447e983365f9ccc7bf26f>
    <KpiDescription xmlns="http://schemas.microsoft.com/sharepoint/v3" xsi:nil="true"/>
    <TaxCatchAll xmlns="5f8ea682-3a42-454b-8035-422047e146b2">
      <Value>1000</Value>
      <Value>999</Value>
      <Value>1450</Value>
      <Value>992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8622-317</TermName>
          <TermId xmlns="http://schemas.microsoft.com/office/infopath/2007/PartnerControls">4b549555-0ca9-4b04-a20f-101a1eae6b15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</Terms>
    </kb5530885391492bb408a8b4151064e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F510272CC9F9F34980EF4CC15B9F80D5" ma:contentTypeVersion="6" ma:contentTypeDescription="" ma:contentTypeScope="" ma:versionID="2a7ab5512279e2b7bebde904489f074a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3c1c57a5ccf5b51d82e748bab020a9f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DE506B-F352-4C3B-9E50-728BB94A24A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5f8ea682-3a42-454b-8035-422047e146b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634BFEE-E206-48F1-BE26-98ED00EEDA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CD2AA-DEC9-49C1-8042-ACFB07195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Contribute to the development of a strategic plan (ML45)</vt:lpstr>
    </vt:vector>
  </TitlesOfParts>
  <Company>City &amp; Guilds</Company>
  <LinksUpToDate>false</LinksUpToDate>
  <CharactersWithSpaces>6237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Contribute to the development of a strategic plan (ML45)</dc:title>
  <dc:subject/>
  <dc:creator>Linda Orr</dc:creator>
  <cp:keywords/>
  <dc:description/>
  <cp:lastModifiedBy>Jurgita Baleviciute</cp:lastModifiedBy>
  <cp:revision>2</cp:revision>
  <dcterms:created xsi:type="dcterms:W3CDTF">2017-01-19T15:30:00Z</dcterms:created>
  <dcterms:modified xsi:type="dcterms:W3CDTF">2017-01-19T15:30:00Z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0x010100EC889E2311B5D948AD60A23A761E737D00F510272CC9F9F34980EF4CC15B9F80D5</vt:lpwstr>
  </property>
  <property fmtid="{D5CDD505-2E9C-101B-9397-08002B2CF9AE}" pid="3" name="Units">
    <vt:lpwstr>1450;#8622-317|4b549555-0ca9-4b04-a20f-101a1eae6b15</vt:lpwstr>
  </property>
  <property fmtid="{D5CDD505-2E9C-101B-9397-08002B2CF9AE}" pid="4" name="Family Code">
    <vt:lpwstr>992;#8622|5fa3b72e-ae13-4e50-9511-17af1e1d6aea</vt:lpwstr>
  </property>
  <property fmtid="{D5CDD505-2E9C-101B-9397-08002B2CF9AE}" pid="5" name="PoS">
    <vt:lpwstr>999;#8622-41|d21f84b9-bfe2-4f27-ac94-0f942e19ff84;#1000;#8622-43|de845b68-fadf-48c9-aac7-3cddce4582cb</vt:lpwstr>
  </property>
</Properties>
</file>