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792DC4" w:rsidRPr="004B5359">
        <w:tc>
          <w:tcPr>
            <w:tcW w:w="2808" w:type="dxa"/>
            <w:shd w:val="clear" w:color="auto" w:fill="99CCFF"/>
          </w:tcPr>
          <w:p w:rsidR="00792DC4" w:rsidRPr="005D460C" w:rsidRDefault="00792DC4" w:rsidP="008512D0">
            <w:pPr>
              <w:pStyle w:val="TableColumnHeader"/>
              <w:spacing w:after="120"/>
              <w:jc w:val="both"/>
            </w:pPr>
            <w:bookmarkStart w:id="0" w:name="_GoBack" w:colFirst="2" w:colLast="2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792DC4" w:rsidRPr="005D460C" w:rsidRDefault="00792DC4" w:rsidP="008512D0">
            <w:pPr>
              <w:pStyle w:val="TableText"/>
              <w:rPr>
                <w:b/>
                <w:bCs/>
              </w:rPr>
            </w:pPr>
            <w:r w:rsidRPr="005D460C">
              <w:rPr>
                <w:b/>
                <w:bCs/>
              </w:rPr>
              <w:t>Contributing to innovation and cre</w:t>
            </w:r>
            <w:r w:rsidR="00D611C7">
              <w:rPr>
                <w:b/>
                <w:bCs/>
              </w:rPr>
              <w:t>ativity in the workplace</w:t>
            </w:r>
          </w:p>
        </w:tc>
      </w:tr>
      <w:tr w:rsidR="00792DC4">
        <w:tc>
          <w:tcPr>
            <w:tcW w:w="2808" w:type="dxa"/>
            <w:shd w:val="clear" w:color="auto" w:fill="99CCFF"/>
          </w:tcPr>
          <w:p w:rsidR="00792DC4" w:rsidRDefault="00792DC4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792DC4" w:rsidRPr="00C1156C" w:rsidRDefault="00792DC4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792DC4">
        <w:tc>
          <w:tcPr>
            <w:tcW w:w="2808" w:type="dxa"/>
            <w:shd w:val="clear" w:color="auto" w:fill="99CCFF"/>
          </w:tcPr>
          <w:p w:rsidR="00792DC4" w:rsidRDefault="00792DC4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792DC4" w:rsidRPr="00CD1643" w:rsidRDefault="00792DC4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792DC4">
        <w:tc>
          <w:tcPr>
            <w:tcW w:w="2808" w:type="dxa"/>
            <w:shd w:val="clear" w:color="auto" w:fill="99CCFF"/>
          </w:tcPr>
          <w:p w:rsidR="00792DC4" w:rsidRDefault="00792DC4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792DC4" w:rsidRPr="00CD1643" w:rsidRDefault="00792DC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792DC4">
        <w:tc>
          <w:tcPr>
            <w:tcW w:w="4068" w:type="dxa"/>
            <w:gridSpan w:val="2"/>
            <w:shd w:val="clear" w:color="auto" w:fill="99CCFF"/>
          </w:tcPr>
          <w:p w:rsidR="00792DC4" w:rsidRDefault="00792DC4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792DC4" w:rsidRDefault="00792DC4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92DC4" w:rsidRPr="00C866A4">
        <w:tc>
          <w:tcPr>
            <w:tcW w:w="4068" w:type="dxa"/>
            <w:gridSpan w:val="2"/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>nderstand what innovation is</w:t>
            </w:r>
          </w:p>
        </w:tc>
        <w:tc>
          <w:tcPr>
            <w:tcW w:w="576" w:type="dxa"/>
            <w:tcBorders>
              <w:right w:val="nil"/>
            </w:tcBorders>
          </w:tcPr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792DC4" w:rsidRPr="00CD635D" w:rsidRDefault="00792DC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92DC4" w:rsidRDefault="00792DC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Describe what is meant by innovation</w:t>
            </w:r>
          </w:p>
          <w:p w:rsidR="00792DC4" w:rsidRPr="00CD635D" w:rsidRDefault="00792DC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Identify examples of recent innovation</w:t>
            </w:r>
          </w:p>
          <w:p w:rsidR="00792DC4" w:rsidRPr="00CD635D" w:rsidRDefault="00792DC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Describe the difference between innovation and creativity</w:t>
            </w:r>
          </w:p>
        </w:tc>
      </w:tr>
      <w:tr w:rsidR="00792DC4" w:rsidRPr="00C866A4">
        <w:tc>
          <w:tcPr>
            <w:tcW w:w="4068" w:type="dxa"/>
            <w:gridSpan w:val="2"/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>nderstand the different types of innovation and their application within an organisation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Describe different types of innovation</w:t>
            </w: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Explain where the different types of innovation could be typically applied within an organisation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92DC4" w:rsidRPr="00C866A4">
        <w:tc>
          <w:tcPr>
            <w:tcW w:w="4068" w:type="dxa"/>
            <w:gridSpan w:val="2"/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 xml:space="preserve">nderstand the drivers of innovation </w:t>
            </w:r>
          </w:p>
        </w:tc>
        <w:tc>
          <w:tcPr>
            <w:tcW w:w="576" w:type="dxa"/>
            <w:tcBorders>
              <w:right w:val="nil"/>
            </w:tcBorders>
          </w:tcPr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:rsidR="00792DC4" w:rsidRPr="00E3763B" w:rsidRDefault="00792DC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Explain how external influences impact on the organisation</w:t>
            </w: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 xml:space="preserve">Explain the drivers within the organisation that will promote and encourage innovation 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Identify key influences that would promote innovation in the team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92DC4" w:rsidRPr="00C866A4">
        <w:tc>
          <w:tcPr>
            <w:tcW w:w="4068" w:type="dxa"/>
            <w:gridSpan w:val="2"/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>nderstand the conditions that promote and hinder innovation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736" w:type="dxa"/>
            <w:tcBorders>
              <w:left w:val="nil"/>
            </w:tcBorders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Explain what organisational culture is</w:t>
            </w: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Explain how an organisation’s culture can support</w:t>
            </w:r>
            <w:r w:rsidR="00E70B60">
              <w:rPr>
                <w:sz w:val="20"/>
                <w:szCs w:val="20"/>
              </w:rPr>
              <w:t xml:space="preserve"> and </w:t>
            </w:r>
            <w:r w:rsidRPr="00CD635D">
              <w:rPr>
                <w:sz w:val="20"/>
                <w:szCs w:val="20"/>
              </w:rPr>
              <w:t>hinder innovation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Identify barriers to innovation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92DC4" w:rsidRPr="00C866A4">
        <w:tc>
          <w:tcPr>
            <w:tcW w:w="4068" w:type="dxa"/>
            <w:gridSpan w:val="2"/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>nderstand the use of creative thinking in innovation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3736" w:type="dxa"/>
            <w:tcBorders>
              <w:left w:val="nil"/>
            </w:tcBorders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examples of creative thinking in business</w:t>
            </w:r>
          </w:p>
          <w:p w:rsidR="00792DC4" w:rsidRPr="00CD635D" w:rsidRDefault="00D42536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</w:t>
            </w:r>
            <w:r w:rsidR="00792DC4" w:rsidRPr="00CD635D">
              <w:rPr>
                <w:sz w:val="20"/>
                <w:szCs w:val="20"/>
              </w:rPr>
              <w:t>creative thinking techniques that will enable innovative thinking in the team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</w:tr>
      <w:bookmarkEnd w:id="0"/>
    </w:tbl>
    <w:p w:rsidR="00E415AF" w:rsidRDefault="00E415AF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"/>
        <w:gridCol w:w="3736"/>
      </w:tblGrid>
      <w:tr w:rsidR="00792DC4" w:rsidRPr="00C866A4">
        <w:tc>
          <w:tcPr>
            <w:tcW w:w="4068" w:type="dxa"/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>nderstand the innovation process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3736" w:type="dxa"/>
            <w:tcBorders>
              <w:left w:val="nil"/>
            </w:tcBorders>
          </w:tcPr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Explain the process of innovation</w:t>
            </w: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Describe the importance of protecting intellectual property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 w:rsidRPr="00CD635D">
              <w:rPr>
                <w:sz w:val="20"/>
                <w:szCs w:val="20"/>
              </w:rPr>
              <w:t>Explain the importance of record keeping to support the innovation process</w:t>
            </w: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CD635D">
              <w:rPr>
                <w:sz w:val="20"/>
                <w:szCs w:val="20"/>
              </w:rPr>
              <w:t xml:space="preserve"> the criteria for successful innovation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</w:t>
            </w:r>
            <w:r w:rsidRPr="00CD63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how to</w:t>
            </w:r>
            <w:r w:rsidRPr="00CD635D">
              <w:rPr>
                <w:sz w:val="20"/>
                <w:szCs w:val="20"/>
              </w:rPr>
              <w:t xml:space="preserve"> evaluat</w:t>
            </w:r>
            <w:r>
              <w:rPr>
                <w:sz w:val="20"/>
                <w:szCs w:val="20"/>
              </w:rPr>
              <w:t>e</w:t>
            </w:r>
            <w:r w:rsidRPr="00CD635D">
              <w:rPr>
                <w:sz w:val="20"/>
                <w:szCs w:val="20"/>
              </w:rPr>
              <w:t xml:space="preserve"> the validity and potential of </w:t>
            </w:r>
            <w:r>
              <w:rPr>
                <w:sz w:val="20"/>
                <w:szCs w:val="20"/>
              </w:rPr>
              <w:t xml:space="preserve">a </w:t>
            </w:r>
            <w:r w:rsidRPr="00CD635D">
              <w:rPr>
                <w:sz w:val="20"/>
                <w:szCs w:val="20"/>
              </w:rPr>
              <w:t>creative idea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92DC4" w:rsidRPr="00C866A4">
        <w:tc>
          <w:tcPr>
            <w:tcW w:w="4068" w:type="dxa"/>
          </w:tcPr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Pr="00CD635D" w:rsidRDefault="00792DC4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635D">
              <w:rPr>
                <w:sz w:val="20"/>
                <w:szCs w:val="20"/>
              </w:rPr>
              <w:t>nderstand how to implement and measure the impact of</w:t>
            </w:r>
            <w:r>
              <w:rPr>
                <w:sz w:val="20"/>
                <w:szCs w:val="20"/>
              </w:rPr>
              <w:t xml:space="preserve"> </w:t>
            </w:r>
            <w:r w:rsidRPr="00CD635D">
              <w:rPr>
                <w:sz w:val="20"/>
                <w:szCs w:val="20"/>
              </w:rPr>
              <w:t>innovation</w:t>
            </w: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736" w:type="dxa"/>
            <w:tcBorders>
              <w:left w:val="nil"/>
            </w:tcBorders>
          </w:tcPr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</w:p>
          <w:p w:rsidR="00792DC4" w:rsidRDefault="00792DC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 methods of implementing creative ideas</w:t>
            </w:r>
          </w:p>
          <w:p w:rsidR="00792DC4" w:rsidRPr="00CD635D" w:rsidRDefault="00792DC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Outline </w:t>
            </w:r>
            <w:r w:rsidRPr="00CD635D">
              <w:rPr>
                <w:sz w:val="20"/>
                <w:szCs w:val="20"/>
              </w:rPr>
              <w:t>how the success of an innovation can be measured</w:t>
            </w:r>
          </w:p>
          <w:p w:rsidR="00792DC4" w:rsidRDefault="00792DC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792DC4">
        <w:tc>
          <w:tcPr>
            <w:tcW w:w="4068" w:type="dxa"/>
            <w:tcBorders>
              <w:right w:val="nil"/>
            </w:tcBorders>
            <w:shd w:val="clear" w:color="auto" w:fill="99CCFF"/>
          </w:tcPr>
          <w:p w:rsidR="00792DC4" w:rsidRDefault="00792DC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792DC4" w:rsidRDefault="00792DC4" w:rsidP="008512D0">
            <w:pPr>
              <w:pStyle w:val="TableText"/>
              <w:jc w:val="both"/>
            </w:pPr>
          </w:p>
        </w:tc>
      </w:tr>
      <w:tr w:rsidR="00792DC4">
        <w:tc>
          <w:tcPr>
            <w:tcW w:w="4068" w:type="dxa"/>
          </w:tcPr>
          <w:p w:rsidR="00792DC4" w:rsidRDefault="00792DC4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792DC4" w:rsidRDefault="00792DC4" w:rsidP="008512D0">
            <w:pPr>
              <w:pStyle w:val="TableText"/>
            </w:pPr>
            <w:r w:rsidRPr="00CD635D">
              <w:t xml:space="preserve">The aim of the unit is to build an understanding in the </w:t>
            </w:r>
            <w:r>
              <w:t>learners</w:t>
            </w:r>
            <w:r w:rsidRPr="00CD635D">
              <w:t xml:space="preserve"> of the principles of innovation. To be able</w:t>
            </w:r>
            <w:r w:rsidR="001340C6">
              <w:t xml:space="preserve"> to</w:t>
            </w:r>
            <w:r w:rsidRPr="00CD635D">
              <w:t xml:space="preserve"> identify the different environments which both hinder and encourage innovation. The drivers behind innovation and the different types of innovation and the importance of encouraging creative thinking within the workplace.</w:t>
            </w:r>
          </w:p>
        </w:tc>
      </w:tr>
      <w:tr w:rsidR="004249A4" w:rsidRPr="00C866A4">
        <w:trPr>
          <w:cantSplit/>
        </w:trPr>
        <w:tc>
          <w:tcPr>
            <w:tcW w:w="4068" w:type="dxa"/>
          </w:tcPr>
          <w:p w:rsidR="004249A4" w:rsidRDefault="004249A4" w:rsidP="008512D0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4249A4" w:rsidRPr="003F3E8E" w:rsidRDefault="004249A4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B04AB9">
              <w:t>C1, C2</w:t>
            </w:r>
          </w:p>
        </w:tc>
      </w:tr>
      <w:tr w:rsidR="00792DC4">
        <w:tc>
          <w:tcPr>
            <w:tcW w:w="4068" w:type="dxa"/>
          </w:tcPr>
          <w:p w:rsidR="00792DC4" w:rsidRDefault="00792DC4" w:rsidP="008512D0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792DC4" w:rsidRPr="001C0CFB" w:rsidRDefault="00792DC4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4249A4">
        <w:tc>
          <w:tcPr>
            <w:tcW w:w="4068" w:type="dxa"/>
          </w:tcPr>
          <w:p w:rsidR="004249A4" w:rsidRDefault="004249A4" w:rsidP="008512D0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4249A4" w:rsidRPr="003F3E8E" w:rsidRDefault="004249A4" w:rsidP="005A7134">
            <w:pPr>
              <w:rPr>
                <w:sz w:val="20"/>
                <w:szCs w:val="20"/>
              </w:rPr>
            </w:pPr>
          </w:p>
          <w:p w:rsidR="004249A4" w:rsidRPr="003F3E8E" w:rsidRDefault="004249A4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4249A4">
        <w:tc>
          <w:tcPr>
            <w:tcW w:w="4068" w:type="dxa"/>
          </w:tcPr>
          <w:p w:rsidR="004249A4" w:rsidRDefault="004249A4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4249A4" w:rsidRDefault="004249A4" w:rsidP="008512D0"/>
        </w:tc>
      </w:tr>
      <w:tr w:rsidR="004249A4">
        <w:tc>
          <w:tcPr>
            <w:tcW w:w="4068" w:type="dxa"/>
          </w:tcPr>
          <w:p w:rsidR="004249A4" w:rsidRDefault="004249A4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4249A4" w:rsidRPr="0033059B" w:rsidRDefault="004249A4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</w:tbl>
    <w:p w:rsidR="00E415AF" w:rsidRDefault="00E415AF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4249A4">
        <w:tc>
          <w:tcPr>
            <w:tcW w:w="8380" w:type="dxa"/>
            <w:gridSpan w:val="2"/>
            <w:shd w:val="clear" w:color="auto" w:fill="99CCFF"/>
          </w:tcPr>
          <w:p w:rsidR="004249A4" w:rsidRDefault="004249A4" w:rsidP="008512D0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4249A4" w:rsidRPr="00CD0A03">
        <w:trPr>
          <w:trHeight w:val="445"/>
        </w:trPr>
        <w:tc>
          <w:tcPr>
            <w:tcW w:w="8380" w:type="dxa"/>
            <w:gridSpan w:val="2"/>
          </w:tcPr>
          <w:p w:rsidR="004249A4" w:rsidRPr="00CD0A03" w:rsidRDefault="004249A4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A clear and applicable definition of organisational innovation.</w:t>
            </w:r>
          </w:p>
          <w:p w:rsidR="004249A4" w:rsidRPr="004475B3" w:rsidRDefault="004249A4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A list of recent innovations within their workplace</w:t>
            </w:r>
          </w:p>
          <w:p w:rsidR="004249A4" w:rsidRPr="00E243E6" w:rsidRDefault="004249A4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A clear model of innovation that provides guidance and understanding of the whole process for innovation within organisations</w:t>
            </w:r>
          </w:p>
          <w:p w:rsidR="004249A4" w:rsidRPr="004475B3" w:rsidRDefault="004249A4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Examples of different types of innovation, e.g. Service innovation, Product innovation, Process innovation</w:t>
            </w:r>
          </w:p>
          <w:p w:rsidR="004249A4" w:rsidRPr="00750922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Examples of applications of innovation within an organisation</w:t>
            </w: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Examples of current and ongoing changes in the world around us resulting from innovation</w:t>
            </w:r>
          </w:p>
          <w:p w:rsidR="004249A4" w:rsidRPr="004475B3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Assessment of whether these examples of innovation could offer opportunities or threats in the near future</w:t>
            </w:r>
          </w:p>
          <w:p w:rsidR="004249A4" w:rsidRPr="004475B3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Drivers that promote and encourage innovation</w:t>
            </w:r>
          </w:p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4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Demonstrate the ability to evaluate organisational culture</w:t>
            </w:r>
          </w:p>
          <w:p w:rsidR="004249A4" w:rsidRPr="004475B3" w:rsidRDefault="004249A4" w:rsidP="008512D0">
            <w:pPr>
              <w:numPr>
                <w:ilvl w:val="0"/>
                <w:numId w:val="4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Assessment of those elements of the culture that support innovation and those that hinder it</w:t>
            </w:r>
          </w:p>
          <w:p w:rsidR="004249A4" w:rsidRPr="004475B3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Identify the conditions under which innov</w:t>
            </w:r>
            <w:r w:rsidR="0086426F">
              <w:rPr>
                <w:color w:val="000000"/>
                <w:sz w:val="20"/>
                <w:szCs w:val="20"/>
              </w:rPr>
              <w:t>ation can most favourably occur</w:t>
            </w:r>
          </w:p>
          <w:p w:rsidR="004249A4" w:rsidRPr="004475B3" w:rsidRDefault="004249A4" w:rsidP="008512D0">
            <w:pPr>
              <w:ind w:left="36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Use of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475B3">
              <w:rPr>
                <w:color w:val="000000"/>
                <w:sz w:val="20"/>
                <w:szCs w:val="20"/>
              </w:rPr>
              <w:t>creative thinking techniques, e.g. Brainstorming, Random Word, Six Hats, Assumption Reversal</w:t>
            </w:r>
          </w:p>
          <w:p w:rsidR="004249A4" w:rsidRPr="004475B3" w:rsidRDefault="004249A4" w:rsidP="008512D0">
            <w:pPr>
              <w:ind w:left="36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5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Use of SWOT analysis, or other process, to evaluate an innovative solution</w:t>
            </w:r>
          </w:p>
          <w:p w:rsidR="004249A4" w:rsidRPr="004475B3" w:rsidRDefault="004249A4" w:rsidP="008512D0">
            <w:pPr>
              <w:numPr>
                <w:ilvl w:val="0"/>
                <w:numId w:val="5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Demonstrate the ability to evaluate and develop a creative concept and to test its viability</w:t>
            </w:r>
          </w:p>
          <w:p w:rsidR="004249A4" w:rsidRPr="004475B3" w:rsidRDefault="004249A4" w:rsidP="008512D0">
            <w:pPr>
              <w:numPr>
                <w:ilvl w:val="0"/>
                <w:numId w:val="5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Criteria for successful innovation</w:t>
            </w:r>
          </w:p>
          <w:p w:rsidR="004249A4" w:rsidRDefault="004249A4" w:rsidP="008512D0">
            <w:pPr>
              <w:numPr>
                <w:ilvl w:val="0"/>
                <w:numId w:val="5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Recent list of examples of organisations that have innovated successfully and those that have failed to innovate, demonstrating the implications of not innovating or doing it badly</w:t>
            </w:r>
          </w:p>
          <w:p w:rsidR="004249A4" w:rsidRPr="004475B3" w:rsidRDefault="004249A4" w:rsidP="008512D0">
            <w:pPr>
              <w:ind w:left="36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4249A4" w:rsidRPr="00C866A4">
        <w:tc>
          <w:tcPr>
            <w:tcW w:w="392" w:type="dxa"/>
          </w:tcPr>
          <w:p w:rsidR="004249A4" w:rsidRDefault="004249A4" w:rsidP="008512D0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7988" w:type="dxa"/>
          </w:tcPr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249A4" w:rsidRPr="004475B3" w:rsidRDefault="004249A4" w:rsidP="008512D0">
            <w:pPr>
              <w:numPr>
                <w:ilvl w:val="0"/>
                <w:numId w:val="6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Supporting someone who has an idea through to innovation</w:t>
            </w:r>
          </w:p>
          <w:p w:rsidR="004249A4" w:rsidRPr="004475B3" w:rsidRDefault="004249A4" w:rsidP="008512D0">
            <w:pPr>
              <w:numPr>
                <w:ilvl w:val="0"/>
                <w:numId w:val="6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Understanding of different approaches from concept of an idea through development to implementation and evaluation</w:t>
            </w:r>
          </w:p>
          <w:p w:rsidR="004249A4" w:rsidRDefault="004249A4" w:rsidP="008512D0">
            <w:pPr>
              <w:numPr>
                <w:ilvl w:val="0"/>
                <w:numId w:val="6"/>
              </w:numPr>
              <w:jc w:val="left"/>
              <w:rPr>
                <w:color w:val="000000"/>
                <w:sz w:val="20"/>
                <w:szCs w:val="20"/>
              </w:rPr>
            </w:pPr>
            <w:r w:rsidRPr="004475B3">
              <w:rPr>
                <w:color w:val="000000"/>
                <w:sz w:val="20"/>
                <w:szCs w:val="20"/>
              </w:rPr>
              <w:t>Measuring the success of innovation</w:t>
            </w:r>
          </w:p>
          <w:p w:rsidR="004249A4" w:rsidRPr="004475B3" w:rsidRDefault="004249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FF7976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0C" w:rsidRDefault="005B040C">
      <w:r>
        <w:separator/>
      </w:r>
    </w:p>
  </w:endnote>
  <w:endnote w:type="continuationSeparator" w:id="0">
    <w:p w:rsidR="005B040C" w:rsidRDefault="005B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11C" w:rsidRDefault="0008411C" w:rsidP="0008411C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Awarded by City &amp; Guilds.</w:t>
    </w:r>
  </w:p>
  <w:p w:rsidR="0008411C" w:rsidRDefault="00570A6F" w:rsidP="0008411C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570A6F">
      <w:rPr>
        <w:rFonts w:cs="Times New Roman"/>
        <w:sz w:val="20"/>
        <w:szCs w:val="20"/>
      </w:rPr>
      <w:t>Contributing to innovation and creativity in the workplace</w:t>
    </w:r>
    <w:r w:rsidR="0008411C">
      <w:rPr>
        <w:rFonts w:cs="Times New Roman"/>
        <w:sz w:val="20"/>
        <w:szCs w:val="20"/>
      </w:rPr>
      <w:t xml:space="preserve"> </w:t>
    </w:r>
  </w:p>
  <w:p w:rsidR="00CE348C" w:rsidRPr="0008411C" w:rsidRDefault="0008411C" w:rsidP="0008411C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Version 1.0 (February 2016)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 PAGE   \* MERGEFORMAT </w:instrText>
        </w:r>
        <w:r>
          <w:rPr>
            <w:rFonts w:cs="Times New Roman"/>
            <w:sz w:val="20"/>
            <w:szCs w:val="20"/>
          </w:rPr>
          <w:fldChar w:fldCharType="separate"/>
        </w:r>
        <w:r w:rsidR="001C6351">
          <w:rPr>
            <w:rFonts w:cs="Times New Roman"/>
            <w:noProof/>
            <w:sz w:val="20"/>
            <w:szCs w:val="20"/>
          </w:rPr>
          <w:t>1</w:t>
        </w:r>
        <w:r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0C" w:rsidRDefault="005B040C">
      <w:r>
        <w:separator/>
      </w:r>
    </w:p>
  </w:footnote>
  <w:footnote w:type="continuationSeparator" w:id="0">
    <w:p w:rsidR="005B040C" w:rsidRDefault="005B0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48C" w:rsidRDefault="001C6351" w:rsidP="00931BB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4965700</wp:posOffset>
          </wp:positionH>
          <wp:positionV relativeFrom="paragraph">
            <wp:posOffset>236483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2CE0"/>
    <w:multiLevelType w:val="hybridMultilevel"/>
    <w:tmpl w:val="AE4C50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590895"/>
    <w:multiLevelType w:val="hybridMultilevel"/>
    <w:tmpl w:val="EFF29614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0A56AA"/>
    <w:multiLevelType w:val="hybridMultilevel"/>
    <w:tmpl w:val="034CDB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C4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2F05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23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11C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1594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0C6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351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A4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5B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0A6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0C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0922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2DC4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26F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1BB7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241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AB9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18D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35D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348C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536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11C7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43E6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5AF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0B60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3B3D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ADE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76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DE0F1D7-B597-4A99-B964-64EA243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DC4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2D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348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792DC4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92DC4"/>
    <w:rPr>
      <w:b/>
      <w:bCs/>
    </w:rPr>
  </w:style>
  <w:style w:type="character" w:customStyle="1" w:styleId="HeaderChar">
    <w:name w:val="Header Char"/>
    <w:link w:val="Header"/>
    <w:uiPriority w:val="99"/>
    <w:locked/>
    <w:rsid w:val="00792DC4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319</Value>
      <Value>1920</Value>
      <Value>1919</Value>
      <Value>1918</Value>
      <Value>1166</Value>
      <Value>95</Value>
      <Value>199</Value>
      <Value>198</Value>
      <Value>197</Value>
      <Value>196</Value>
      <Value>195</Value>
      <Value>515</Value>
      <Value>1156</Value>
      <Value>189</Value>
      <Value>188</Value>
      <Value>187</Value>
      <Value>186</Value>
      <Value>398</Value>
      <Value>874</Value>
      <Value>390</Value>
      <Value>55</Value>
      <Value>46</Value>
      <Value>49</Value>
      <Value>1011</Value>
      <Value>1010</Value>
      <Value>153</Value>
      <Value>152</Value>
      <Value>1007</Value>
      <Value>1006</Value>
      <Value>1005</Value>
      <Value>1012</Value>
      <Value>37</Value>
      <Value>36</Value>
      <Value>33</Value>
      <Value>32</Value>
      <Value>1165</Value>
      <Value>126</Value>
      <Value>125</Value>
      <Value>124</Value>
      <Value>1942</Value>
      <Value>1084</Value>
      <Value>1083</Value>
      <Value>1082</Value>
      <Value>1081</Value>
      <Value>1080</Value>
      <Value>9</Value>
      <Value>8</Value>
      <Value>109</Value>
      <Value>1009</Value>
      <Value>110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8601-305</TermName>
          <TermId xmlns="http://schemas.microsoft.com/office/infopath/2007/PartnerControls">77f8bc8b-d120-4b31-b84b-c4cead0ee495</TermId>
        </TermInfo>
        <TermInfo xmlns="http://schemas.microsoft.com/office/infopath/2007/PartnerControls">
          <TermName xmlns="http://schemas.microsoft.com/office/infopath/2007/PartnerControls">8600-305</TermName>
          <TermId xmlns="http://schemas.microsoft.com/office/infopath/2007/PartnerControls">57ed68b1-0174-4aa0-82ae-28385f6ca888</TermId>
        </TermInfo>
        <TermInfo xmlns="http://schemas.microsoft.com/office/infopath/2007/PartnerControls">
          <TermName xmlns="http://schemas.microsoft.com/office/infopath/2007/PartnerControls">8602-305</TermName>
          <TermId xmlns="http://schemas.microsoft.com/office/infopath/2007/PartnerControls">bfac597a-fbcd-4df3-b8c0-9935781fe601</TermId>
        </TermInfo>
        <TermInfo xmlns="http://schemas.microsoft.com/office/infopath/2007/PartnerControls">
          <TermName xmlns="http://schemas.microsoft.com/office/infopath/2007/PartnerControls">8605-305</TermName>
          <TermId xmlns="http://schemas.microsoft.com/office/infopath/2007/PartnerControls">d6d55677-f801-4727-ae4e-a4db070d8fb1</TermId>
        </TermInfo>
        <TermInfo xmlns="http://schemas.microsoft.com/office/infopath/2007/PartnerControls">
          <TermName xmlns="http://schemas.microsoft.com/office/infopath/2007/PartnerControls">8141-323</TermName>
          <TermId xmlns="http://schemas.microsoft.com/office/infopath/2007/PartnerControls">5f7ccdcf-9083-4aee-8948-e0388002742d</TermId>
        </TermInfo>
        <TermInfo xmlns="http://schemas.microsoft.com/office/infopath/2007/PartnerControls">
          <TermName xmlns="http://schemas.microsoft.com/office/infopath/2007/PartnerControls">8606-305</TermName>
          <TermId xmlns="http://schemas.microsoft.com/office/infopath/2007/PartnerControls">d87a6a74-704f-4fb3-ab7e-77f7d45dba49</TermId>
        </TermInfo>
        <TermInfo xmlns="http://schemas.microsoft.com/office/infopath/2007/PartnerControls">
          <TermName xmlns="http://schemas.microsoft.com/office/infopath/2007/PartnerControls">8625-305</TermName>
          <TermId xmlns="http://schemas.microsoft.com/office/infopath/2007/PartnerControls">a6262d93-4ecc-45a1-b065-07254f5cb455</TermId>
        </TermInfo>
        <TermInfo xmlns="http://schemas.microsoft.com/office/infopath/2007/PartnerControls">
          <TermName xmlns="http://schemas.microsoft.com/office/infopath/2007/PartnerControls">8149-323</TermName>
          <TermId xmlns="http://schemas.microsoft.com/office/infopath/2007/PartnerControls">18f1db0d-8850-423f-a530-016507ba1a57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524DF-2EB0-4650-A89A-07FAD794D5A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5f8ea682-3a42-454b-8035-422047e146b2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213758-0982-4B02-A21B-C46C94BE9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F0843-0041-4160-B348-24EA4067C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Contributing to Innovation and Creativity in the Workplace </vt:lpstr>
    </vt:vector>
  </TitlesOfParts>
  <Company>City &amp; Guilds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Contributing to Innovation and Creativity in the Workplace</dc:title>
  <dc:creator>shalinis</dc:creator>
  <cp:lastModifiedBy>Jurgita Baleviciute</cp:lastModifiedBy>
  <cp:revision>2</cp:revision>
  <dcterms:created xsi:type="dcterms:W3CDTF">2017-01-19T15:31:00Z</dcterms:created>
  <dcterms:modified xsi:type="dcterms:W3CDTF">2017-01-19T15:31:00Z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55;#8601-305|77f8bc8b-d120-4b31-b84b-c4cead0ee495;#319;#8600-305|57ed68b1-0174-4aa0-82ae-28385f6ca888;#398;#8602-305|bfac597a-fbcd-4df3-b8c0-9935781fe601;#515;#8605-305|d6d55677-f801-4727-ae4e-a4db070d8fb1;#874;#8141-323|5f7ccdcf-9083-4aee-8948-e038800274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32;#8601|42797d61-dfe4-4e2c-8ed4-cf6d079f5f75;#8;#8600|099f2cf7-8bb5-4962-b2c4-31f26d542cc5;#390;#8602|f4456173-9a20-43c0-8161-f248f6218207;#109;#8605|4ca9d4f6-eb3a-4a12-baaa-e0e314869f84;#152;#8141|0a96f987-c3f6-445b-96f5-00ef78c40aeb;#1080;#8606|49254f9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