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3BBF" w:rsidRPr="004B5359">
        <w:tc>
          <w:tcPr>
            <w:tcW w:w="2808" w:type="dxa"/>
            <w:gridSpan w:val="2"/>
            <w:shd w:val="clear" w:color="auto" w:fill="99CCFF"/>
          </w:tcPr>
          <w:p w:rsidR="004F3BBF" w:rsidRDefault="004F3BBF" w:rsidP="00500531">
            <w:pPr>
              <w:pStyle w:val="TableColumnHeader"/>
              <w:spacing w:after="120"/>
              <w:jc w:val="both"/>
            </w:pPr>
            <w:bookmarkStart w:id="0" w:name="_GoBack" w:colFirst="2" w:colLast="2"/>
            <w:r>
              <w:t>Title:</w:t>
            </w:r>
          </w:p>
        </w:tc>
        <w:tc>
          <w:tcPr>
            <w:tcW w:w="5572" w:type="dxa"/>
            <w:gridSpan w:val="3"/>
          </w:tcPr>
          <w:p w:rsidR="004F3BBF" w:rsidRPr="004B5359" w:rsidRDefault="00D84B9D" w:rsidP="00500531">
            <w:pPr>
              <w:pStyle w:val="TableText"/>
              <w:rPr>
                <w:b/>
                <w:bCs/>
              </w:rPr>
            </w:pPr>
            <w:r>
              <w:rPr>
                <w:b/>
                <w:bCs/>
              </w:rPr>
              <w:t xml:space="preserve">Interpreting financial statements to assess organisational performance using financial ratios </w:t>
            </w:r>
          </w:p>
        </w:tc>
      </w:tr>
      <w:tr w:rsidR="004F3BBF">
        <w:tc>
          <w:tcPr>
            <w:tcW w:w="2808" w:type="dxa"/>
            <w:gridSpan w:val="2"/>
            <w:shd w:val="clear" w:color="auto" w:fill="99CCFF"/>
          </w:tcPr>
          <w:p w:rsidR="004F3BBF" w:rsidRDefault="004F3BBF" w:rsidP="00500531">
            <w:pPr>
              <w:pStyle w:val="TableColumnHeader"/>
              <w:spacing w:after="120"/>
              <w:jc w:val="both"/>
            </w:pPr>
            <w:r>
              <w:t>Level:</w:t>
            </w:r>
          </w:p>
        </w:tc>
        <w:tc>
          <w:tcPr>
            <w:tcW w:w="5572" w:type="dxa"/>
            <w:gridSpan w:val="3"/>
          </w:tcPr>
          <w:p w:rsidR="004F3BBF" w:rsidRDefault="00D84B9D" w:rsidP="00500531">
            <w:pPr>
              <w:pStyle w:val="TableText"/>
              <w:jc w:val="both"/>
            </w:pPr>
            <w:r>
              <w:t>4</w:t>
            </w:r>
          </w:p>
        </w:tc>
      </w:tr>
      <w:tr w:rsidR="004F3BBF">
        <w:tc>
          <w:tcPr>
            <w:tcW w:w="2808" w:type="dxa"/>
            <w:gridSpan w:val="2"/>
            <w:shd w:val="clear" w:color="auto" w:fill="99CCFF"/>
          </w:tcPr>
          <w:p w:rsidR="004F3BBF" w:rsidRDefault="004F3BBF" w:rsidP="00500531">
            <w:pPr>
              <w:pStyle w:val="TableColumnHeader"/>
              <w:spacing w:after="120"/>
              <w:jc w:val="both"/>
            </w:pPr>
            <w:r>
              <w:t>Credit value:</w:t>
            </w:r>
          </w:p>
        </w:tc>
        <w:tc>
          <w:tcPr>
            <w:tcW w:w="5572" w:type="dxa"/>
            <w:gridSpan w:val="3"/>
          </w:tcPr>
          <w:p w:rsidR="004F3BBF" w:rsidRDefault="00D84B9D" w:rsidP="00500531">
            <w:pPr>
              <w:pStyle w:val="TableText"/>
              <w:jc w:val="both"/>
            </w:pPr>
            <w:r>
              <w:t>3</w:t>
            </w:r>
          </w:p>
        </w:tc>
      </w:tr>
      <w:tr w:rsidR="004F3BBF">
        <w:tc>
          <w:tcPr>
            <w:tcW w:w="2808" w:type="dxa"/>
            <w:gridSpan w:val="2"/>
            <w:shd w:val="clear" w:color="auto" w:fill="99CCFF"/>
          </w:tcPr>
          <w:p w:rsidR="004F3BBF" w:rsidRDefault="004F3BBF" w:rsidP="00500531">
            <w:pPr>
              <w:pStyle w:val="TableColumnHeader"/>
              <w:spacing w:after="120"/>
              <w:jc w:val="both"/>
            </w:pPr>
            <w:r>
              <w:t>Unit guided learning hours</w:t>
            </w:r>
          </w:p>
        </w:tc>
        <w:tc>
          <w:tcPr>
            <w:tcW w:w="5572" w:type="dxa"/>
            <w:gridSpan w:val="3"/>
          </w:tcPr>
          <w:p w:rsidR="004F3BBF" w:rsidRDefault="00D84B9D" w:rsidP="00500531">
            <w:pPr>
              <w:pStyle w:val="TableText"/>
              <w:jc w:val="both"/>
            </w:pPr>
            <w:r>
              <w:t>6</w:t>
            </w:r>
          </w:p>
        </w:tc>
      </w:tr>
      <w:tr w:rsidR="004F3BBF">
        <w:tc>
          <w:tcPr>
            <w:tcW w:w="4068" w:type="dxa"/>
            <w:gridSpan w:val="3"/>
            <w:shd w:val="clear" w:color="auto" w:fill="99CCFF"/>
          </w:tcPr>
          <w:p w:rsidR="004F3BBF" w:rsidRDefault="004F3BBF" w:rsidP="00500531">
            <w:pPr>
              <w:pStyle w:val="TableColumnHeader"/>
              <w:spacing w:after="0"/>
              <w:rPr>
                <w:b w:val="0"/>
                <w:bCs w:val="0"/>
                <w:i/>
                <w:iCs/>
              </w:rPr>
            </w:pPr>
            <w:r>
              <w:t xml:space="preserve">Learning outcomes (the learner </w:t>
            </w:r>
            <w:r w:rsidRPr="003A1BE6">
              <w:rPr>
                <w:u w:val="single"/>
              </w:rPr>
              <w:t>will</w:t>
            </w:r>
            <w:r>
              <w:t>)</w:t>
            </w:r>
          </w:p>
        </w:tc>
        <w:tc>
          <w:tcPr>
            <w:tcW w:w="4312" w:type="dxa"/>
            <w:gridSpan w:val="2"/>
            <w:shd w:val="clear" w:color="auto" w:fill="99CCFF"/>
          </w:tcPr>
          <w:p w:rsidR="004F3BBF" w:rsidRDefault="004F3BBF" w:rsidP="00500531">
            <w:pPr>
              <w:pStyle w:val="TableColumnHeader"/>
              <w:spacing w:after="0"/>
              <w:rPr>
                <w:i/>
                <w:iCs/>
              </w:rPr>
            </w:pPr>
            <w:r>
              <w:t xml:space="preserve">Assessment criteria (the learner </w:t>
            </w:r>
            <w:r w:rsidRPr="00DD45A9">
              <w:rPr>
                <w:u w:val="single"/>
              </w:rPr>
              <w:t>can</w:t>
            </w:r>
            <w:r>
              <w:t>)</w:t>
            </w:r>
          </w:p>
        </w:tc>
      </w:tr>
      <w:tr w:rsidR="00D84B9D" w:rsidRPr="00C866A4">
        <w:tc>
          <w:tcPr>
            <w:tcW w:w="4068" w:type="dxa"/>
            <w:gridSpan w:val="3"/>
          </w:tcPr>
          <w:p w:rsidR="00D84B9D" w:rsidRPr="000E2C72" w:rsidRDefault="00D84B9D" w:rsidP="00072DE4">
            <w:pPr>
              <w:rPr>
                <w:sz w:val="20"/>
                <w:szCs w:val="20"/>
              </w:rPr>
            </w:pPr>
          </w:p>
          <w:p w:rsidR="00D84B9D" w:rsidRPr="000E2C72" w:rsidRDefault="00D84B9D" w:rsidP="00D84B9D">
            <w:pPr>
              <w:numPr>
                <w:ilvl w:val="0"/>
                <w:numId w:val="1"/>
              </w:numPr>
              <w:jc w:val="left"/>
              <w:rPr>
                <w:sz w:val="20"/>
                <w:szCs w:val="20"/>
              </w:rPr>
            </w:pPr>
            <w:r w:rsidRPr="000E2C72">
              <w:rPr>
                <w:color w:val="000000"/>
                <w:sz w:val="20"/>
                <w:szCs w:val="20"/>
              </w:rPr>
              <w:t xml:space="preserve">Understand </w:t>
            </w:r>
            <w:r>
              <w:rPr>
                <w:color w:val="000000"/>
                <w:sz w:val="20"/>
                <w:szCs w:val="20"/>
              </w:rPr>
              <w:t>the purpose of financial statements and the financial expectations of organisational stakeholders</w:t>
            </w:r>
          </w:p>
          <w:p w:rsidR="00D84B9D" w:rsidRPr="000E2C72" w:rsidRDefault="00D84B9D" w:rsidP="00072DE4">
            <w:pPr>
              <w:rPr>
                <w:sz w:val="20"/>
                <w:szCs w:val="20"/>
              </w:rPr>
            </w:pPr>
          </w:p>
        </w:tc>
        <w:tc>
          <w:tcPr>
            <w:tcW w:w="576" w:type="dxa"/>
            <w:tcBorders>
              <w:right w:val="nil"/>
            </w:tcBorders>
          </w:tcPr>
          <w:p w:rsidR="00D84B9D" w:rsidRDefault="00D84B9D" w:rsidP="00500531">
            <w:pPr>
              <w:jc w:val="center"/>
              <w:rPr>
                <w:sz w:val="20"/>
                <w:szCs w:val="20"/>
              </w:rPr>
            </w:pPr>
          </w:p>
          <w:p w:rsidR="00D84B9D" w:rsidRDefault="00D84B9D" w:rsidP="00500531">
            <w:pPr>
              <w:jc w:val="center"/>
              <w:rPr>
                <w:sz w:val="20"/>
                <w:szCs w:val="20"/>
              </w:rPr>
            </w:pPr>
            <w:r>
              <w:rPr>
                <w:sz w:val="20"/>
                <w:szCs w:val="20"/>
              </w:rPr>
              <w:t>1.1</w:t>
            </w: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Pr="00C866A4" w:rsidRDefault="00D84B9D" w:rsidP="00500531">
            <w:pPr>
              <w:jc w:val="center"/>
              <w:rPr>
                <w:sz w:val="20"/>
                <w:szCs w:val="20"/>
              </w:rPr>
            </w:pPr>
            <w:r>
              <w:rPr>
                <w:sz w:val="20"/>
                <w:szCs w:val="20"/>
              </w:rPr>
              <w:t>1.2</w:t>
            </w:r>
          </w:p>
        </w:tc>
        <w:tc>
          <w:tcPr>
            <w:tcW w:w="3736" w:type="dxa"/>
            <w:tcBorders>
              <w:left w:val="nil"/>
            </w:tcBorders>
          </w:tcPr>
          <w:p w:rsidR="00D84B9D" w:rsidRPr="000E2C72" w:rsidRDefault="00D84B9D" w:rsidP="006F73AB">
            <w:pPr>
              <w:pStyle w:val="Header"/>
              <w:jc w:val="left"/>
              <w:rPr>
                <w:sz w:val="20"/>
                <w:szCs w:val="20"/>
              </w:rPr>
            </w:pPr>
          </w:p>
          <w:p w:rsidR="00D84B9D" w:rsidRDefault="00D84B9D" w:rsidP="006F73AB">
            <w:pPr>
              <w:jc w:val="left"/>
              <w:rPr>
                <w:color w:val="000000"/>
                <w:sz w:val="20"/>
                <w:szCs w:val="20"/>
              </w:rPr>
            </w:pPr>
            <w:r>
              <w:rPr>
                <w:color w:val="000000"/>
                <w:sz w:val="20"/>
                <w:szCs w:val="20"/>
              </w:rPr>
              <w:t xml:space="preserve">Explain, using figures extracted from a set of financial statements, the purpose of each of the financial statements </w:t>
            </w:r>
            <w:r w:rsidRPr="000E2C72">
              <w:rPr>
                <w:color w:val="000000"/>
                <w:sz w:val="20"/>
                <w:szCs w:val="20"/>
              </w:rPr>
              <w:t>produced by the organisatio</w:t>
            </w:r>
            <w:r>
              <w:rPr>
                <w:color w:val="000000"/>
                <w:sz w:val="20"/>
                <w:szCs w:val="20"/>
              </w:rPr>
              <w:t xml:space="preserve">n  </w:t>
            </w:r>
          </w:p>
          <w:p w:rsidR="00D84B9D" w:rsidRDefault="00D84B9D" w:rsidP="006F73AB">
            <w:pPr>
              <w:jc w:val="left"/>
              <w:rPr>
                <w:sz w:val="20"/>
                <w:szCs w:val="20"/>
              </w:rPr>
            </w:pPr>
          </w:p>
          <w:p w:rsidR="00D84B9D" w:rsidRPr="000E2C72" w:rsidRDefault="00D84B9D" w:rsidP="006F73AB">
            <w:pPr>
              <w:jc w:val="left"/>
              <w:rPr>
                <w:color w:val="000000"/>
                <w:sz w:val="20"/>
                <w:szCs w:val="20"/>
              </w:rPr>
            </w:pPr>
            <w:r w:rsidRPr="000E2C72">
              <w:rPr>
                <w:color w:val="000000"/>
                <w:sz w:val="20"/>
                <w:szCs w:val="20"/>
              </w:rPr>
              <w:t xml:space="preserve">Identify the organisation’s stakeholders and </w:t>
            </w:r>
            <w:r>
              <w:rPr>
                <w:color w:val="000000"/>
                <w:sz w:val="20"/>
                <w:szCs w:val="20"/>
              </w:rPr>
              <w:t xml:space="preserve">users of accounts and </w:t>
            </w:r>
            <w:r w:rsidRPr="000E2C72">
              <w:rPr>
                <w:color w:val="000000"/>
                <w:sz w:val="20"/>
                <w:szCs w:val="20"/>
              </w:rPr>
              <w:t>explain their various expectations</w:t>
            </w:r>
            <w:r>
              <w:rPr>
                <w:color w:val="000000"/>
                <w:sz w:val="20"/>
                <w:szCs w:val="20"/>
              </w:rPr>
              <w:t xml:space="preserve"> in terms of the financial performance of the organisation</w:t>
            </w:r>
          </w:p>
          <w:p w:rsidR="00D84B9D" w:rsidRPr="006F3E70" w:rsidRDefault="00D84B9D" w:rsidP="006F73AB">
            <w:pPr>
              <w:jc w:val="left"/>
              <w:rPr>
                <w:sz w:val="20"/>
                <w:szCs w:val="20"/>
              </w:rPr>
            </w:pPr>
          </w:p>
        </w:tc>
      </w:tr>
      <w:tr w:rsidR="00D84B9D" w:rsidRPr="00C866A4">
        <w:tc>
          <w:tcPr>
            <w:tcW w:w="4068" w:type="dxa"/>
            <w:gridSpan w:val="3"/>
          </w:tcPr>
          <w:p w:rsidR="00D84B9D" w:rsidRPr="000E2C72" w:rsidRDefault="00D84B9D" w:rsidP="00072DE4">
            <w:pPr>
              <w:rPr>
                <w:sz w:val="20"/>
                <w:szCs w:val="20"/>
              </w:rPr>
            </w:pPr>
          </w:p>
          <w:p w:rsidR="00D84B9D" w:rsidRPr="000E2C72" w:rsidRDefault="00D84B9D" w:rsidP="00D84B9D">
            <w:pPr>
              <w:numPr>
                <w:ilvl w:val="0"/>
                <w:numId w:val="1"/>
              </w:numPr>
              <w:jc w:val="left"/>
              <w:rPr>
                <w:sz w:val="20"/>
                <w:szCs w:val="20"/>
              </w:rPr>
            </w:pPr>
            <w:r>
              <w:rPr>
                <w:color w:val="000000"/>
                <w:sz w:val="20"/>
                <w:szCs w:val="20"/>
              </w:rPr>
              <w:t>Understand</w:t>
            </w:r>
            <w:r w:rsidRPr="000E2C72">
              <w:rPr>
                <w:color w:val="000000"/>
                <w:sz w:val="20"/>
                <w:szCs w:val="20"/>
              </w:rPr>
              <w:t xml:space="preserve"> how to </w:t>
            </w:r>
            <w:r>
              <w:rPr>
                <w:color w:val="000000"/>
                <w:sz w:val="20"/>
                <w:szCs w:val="20"/>
              </w:rPr>
              <w:t>use and interpret financial ratios to assess a range of performance areas relevant to organisational stakeholders</w:t>
            </w:r>
          </w:p>
          <w:p w:rsidR="00D84B9D" w:rsidRPr="000E2C72" w:rsidRDefault="00D84B9D" w:rsidP="00072DE4">
            <w:pPr>
              <w:rPr>
                <w:sz w:val="20"/>
                <w:szCs w:val="20"/>
              </w:rPr>
            </w:pPr>
          </w:p>
        </w:tc>
        <w:tc>
          <w:tcPr>
            <w:tcW w:w="576" w:type="dxa"/>
            <w:tcBorders>
              <w:right w:val="nil"/>
            </w:tcBorders>
          </w:tcPr>
          <w:p w:rsidR="00D84B9D" w:rsidRDefault="00D84B9D" w:rsidP="00500531">
            <w:pPr>
              <w:jc w:val="center"/>
              <w:rPr>
                <w:sz w:val="20"/>
                <w:szCs w:val="20"/>
              </w:rPr>
            </w:pPr>
          </w:p>
          <w:p w:rsidR="00D84B9D" w:rsidRDefault="00D84B9D" w:rsidP="00500531">
            <w:pPr>
              <w:jc w:val="center"/>
              <w:rPr>
                <w:sz w:val="20"/>
                <w:szCs w:val="20"/>
              </w:rPr>
            </w:pPr>
            <w:r>
              <w:rPr>
                <w:sz w:val="20"/>
                <w:szCs w:val="20"/>
              </w:rPr>
              <w:t>2.1</w:t>
            </w: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r>
              <w:rPr>
                <w:sz w:val="20"/>
                <w:szCs w:val="20"/>
              </w:rPr>
              <w:t>2.2</w:t>
            </w: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Default="00D84B9D" w:rsidP="00500531">
            <w:pPr>
              <w:jc w:val="center"/>
              <w:rPr>
                <w:sz w:val="20"/>
                <w:szCs w:val="20"/>
              </w:rPr>
            </w:pPr>
          </w:p>
          <w:p w:rsidR="00D84B9D" w:rsidRPr="00C866A4" w:rsidRDefault="00D84B9D" w:rsidP="00500531">
            <w:pPr>
              <w:jc w:val="center"/>
              <w:rPr>
                <w:sz w:val="20"/>
                <w:szCs w:val="20"/>
              </w:rPr>
            </w:pPr>
            <w:r>
              <w:rPr>
                <w:sz w:val="20"/>
                <w:szCs w:val="20"/>
              </w:rPr>
              <w:t>2.3</w:t>
            </w:r>
          </w:p>
        </w:tc>
        <w:tc>
          <w:tcPr>
            <w:tcW w:w="3736" w:type="dxa"/>
            <w:tcBorders>
              <w:left w:val="nil"/>
            </w:tcBorders>
          </w:tcPr>
          <w:p w:rsidR="00D84B9D" w:rsidRPr="005E6721" w:rsidRDefault="00D84B9D" w:rsidP="006F73AB">
            <w:pPr>
              <w:pStyle w:val="Header"/>
              <w:jc w:val="left"/>
              <w:rPr>
                <w:sz w:val="20"/>
                <w:szCs w:val="20"/>
              </w:rPr>
            </w:pPr>
          </w:p>
          <w:p w:rsidR="00D84B9D" w:rsidRDefault="00D84B9D" w:rsidP="006F73AB">
            <w:pPr>
              <w:pStyle w:val="Header"/>
              <w:jc w:val="left"/>
              <w:rPr>
                <w:color w:val="000000"/>
                <w:sz w:val="20"/>
                <w:szCs w:val="20"/>
              </w:rPr>
            </w:pPr>
            <w:r>
              <w:rPr>
                <w:color w:val="000000"/>
                <w:sz w:val="20"/>
                <w:szCs w:val="20"/>
              </w:rPr>
              <w:t>C</w:t>
            </w:r>
            <w:r w:rsidRPr="005E6721">
              <w:rPr>
                <w:color w:val="000000"/>
                <w:sz w:val="20"/>
                <w:szCs w:val="20"/>
              </w:rPr>
              <w:t xml:space="preserve">alculate </w:t>
            </w:r>
            <w:r>
              <w:rPr>
                <w:color w:val="000000"/>
                <w:sz w:val="20"/>
                <w:szCs w:val="20"/>
              </w:rPr>
              <w:t xml:space="preserve">a set of financial ratios across a range of performance areas using actual figures extracted from the organisation’s financial statements </w:t>
            </w:r>
          </w:p>
          <w:p w:rsidR="00D84B9D" w:rsidRPr="005E6721" w:rsidRDefault="00D84B9D" w:rsidP="006F73AB">
            <w:pPr>
              <w:pStyle w:val="Header"/>
              <w:jc w:val="left"/>
              <w:rPr>
                <w:color w:val="000000"/>
                <w:sz w:val="20"/>
                <w:szCs w:val="20"/>
              </w:rPr>
            </w:pPr>
          </w:p>
          <w:p w:rsidR="00D84B9D" w:rsidRDefault="00D84B9D" w:rsidP="006F73AB">
            <w:pPr>
              <w:jc w:val="left"/>
              <w:rPr>
                <w:color w:val="000000"/>
                <w:sz w:val="20"/>
                <w:szCs w:val="20"/>
              </w:rPr>
            </w:pPr>
            <w:r w:rsidRPr="005E6721">
              <w:rPr>
                <w:color w:val="000000"/>
                <w:sz w:val="20"/>
                <w:szCs w:val="20"/>
              </w:rPr>
              <w:t>Interpret the</w:t>
            </w:r>
            <w:r>
              <w:rPr>
                <w:color w:val="000000"/>
                <w:sz w:val="20"/>
                <w:szCs w:val="20"/>
              </w:rPr>
              <w:t xml:space="preserve"> set of financial ratios to provide an assessment of </w:t>
            </w:r>
            <w:r w:rsidRPr="005E6721">
              <w:rPr>
                <w:color w:val="000000"/>
                <w:sz w:val="20"/>
                <w:szCs w:val="20"/>
              </w:rPr>
              <w:t xml:space="preserve">the organisation’s </w:t>
            </w:r>
            <w:r>
              <w:rPr>
                <w:color w:val="000000"/>
                <w:sz w:val="20"/>
                <w:szCs w:val="20"/>
              </w:rPr>
              <w:t xml:space="preserve">financial </w:t>
            </w:r>
            <w:r w:rsidRPr="005E6721">
              <w:rPr>
                <w:color w:val="000000"/>
                <w:sz w:val="20"/>
                <w:szCs w:val="20"/>
              </w:rPr>
              <w:t xml:space="preserve">performance in a way </w:t>
            </w:r>
            <w:r>
              <w:rPr>
                <w:color w:val="000000"/>
                <w:sz w:val="20"/>
                <w:szCs w:val="20"/>
              </w:rPr>
              <w:t xml:space="preserve">that is </w:t>
            </w:r>
            <w:r w:rsidRPr="005E6721">
              <w:rPr>
                <w:color w:val="000000"/>
                <w:sz w:val="20"/>
                <w:szCs w:val="20"/>
              </w:rPr>
              <w:t>relevant to each of its stakeholders</w:t>
            </w:r>
            <w:r>
              <w:rPr>
                <w:color w:val="000000"/>
                <w:sz w:val="20"/>
                <w:szCs w:val="20"/>
              </w:rPr>
              <w:t xml:space="preserve">  </w:t>
            </w:r>
          </w:p>
          <w:p w:rsidR="00D84B9D" w:rsidRDefault="00D84B9D" w:rsidP="006F73AB">
            <w:pPr>
              <w:jc w:val="left"/>
              <w:rPr>
                <w:color w:val="000000"/>
                <w:sz w:val="20"/>
                <w:szCs w:val="20"/>
              </w:rPr>
            </w:pPr>
          </w:p>
          <w:p w:rsidR="00D84B9D" w:rsidRDefault="00D84B9D" w:rsidP="006F73AB">
            <w:pPr>
              <w:jc w:val="left"/>
              <w:rPr>
                <w:color w:val="000000"/>
                <w:sz w:val="20"/>
                <w:szCs w:val="20"/>
              </w:rPr>
            </w:pPr>
            <w:r>
              <w:rPr>
                <w:color w:val="000000"/>
                <w:sz w:val="20"/>
                <w:szCs w:val="20"/>
              </w:rPr>
              <w:t>Explain the limitations of the set of financial ratios as a truly accurate assessment of organisational performance</w:t>
            </w:r>
          </w:p>
          <w:p w:rsidR="00D84B9D" w:rsidRPr="006F3E70" w:rsidRDefault="00D84B9D" w:rsidP="006F73AB">
            <w:pPr>
              <w:jc w:val="left"/>
              <w:rPr>
                <w:sz w:val="20"/>
                <w:szCs w:val="20"/>
              </w:rPr>
            </w:pPr>
          </w:p>
        </w:tc>
      </w:tr>
      <w:tr w:rsidR="00D84B9D">
        <w:tc>
          <w:tcPr>
            <w:tcW w:w="4068" w:type="dxa"/>
            <w:gridSpan w:val="3"/>
            <w:tcBorders>
              <w:right w:val="nil"/>
            </w:tcBorders>
            <w:shd w:val="clear" w:color="auto" w:fill="99CCFF"/>
          </w:tcPr>
          <w:p w:rsidR="00D84B9D" w:rsidRDefault="00D84B9D" w:rsidP="00500531">
            <w:pPr>
              <w:pStyle w:val="TableText"/>
              <w:jc w:val="both"/>
              <w:rPr>
                <w:b/>
                <w:bCs/>
              </w:rPr>
            </w:pPr>
            <w:r>
              <w:rPr>
                <w:b/>
                <w:bCs/>
              </w:rPr>
              <w:t>Additional information about the unit</w:t>
            </w:r>
          </w:p>
        </w:tc>
        <w:tc>
          <w:tcPr>
            <w:tcW w:w="4312" w:type="dxa"/>
            <w:gridSpan w:val="2"/>
            <w:tcBorders>
              <w:left w:val="nil"/>
            </w:tcBorders>
            <w:shd w:val="clear" w:color="auto" w:fill="99CCFF"/>
          </w:tcPr>
          <w:p w:rsidR="00D84B9D" w:rsidRDefault="00D84B9D" w:rsidP="00500531">
            <w:pPr>
              <w:pStyle w:val="TableText"/>
              <w:jc w:val="both"/>
            </w:pPr>
          </w:p>
        </w:tc>
      </w:tr>
      <w:tr w:rsidR="00D84B9D">
        <w:tc>
          <w:tcPr>
            <w:tcW w:w="4068" w:type="dxa"/>
            <w:gridSpan w:val="3"/>
          </w:tcPr>
          <w:p w:rsidR="00D84B9D" w:rsidRDefault="00D84B9D" w:rsidP="00500531">
            <w:pPr>
              <w:pStyle w:val="TableText"/>
              <w:spacing w:after="130"/>
              <w:jc w:val="both"/>
            </w:pPr>
            <w:r>
              <w:t>Unit purpose and aim(s)</w:t>
            </w:r>
          </w:p>
        </w:tc>
        <w:tc>
          <w:tcPr>
            <w:tcW w:w="4312" w:type="dxa"/>
            <w:gridSpan w:val="2"/>
          </w:tcPr>
          <w:p w:rsidR="00D84B9D" w:rsidRDefault="00D84B9D" w:rsidP="00072DE4">
            <w:pPr>
              <w:pStyle w:val="TableText"/>
            </w:pPr>
            <w:r>
              <w:t>To enable candidates to understand and interpret financial statements so as to provide an assessment of organisational performance through a range of financial ratios that is relevan</w:t>
            </w:r>
            <w:r w:rsidR="007D2F51">
              <w:t>t and meaningful to stakeholders</w:t>
            </w:r>
            <w:r w:rsidR="006F73AB">
              <w:t>.</w:t>
            </w:r>
          </w:p>
        </w:tc>
      </w:tr>
      <w:tr w:rsidR="00D84B9D" w:rsidRPr="00C866A4">
        <w:trPr>
          <w:cantSplit/>
        </w:trPr>
        <w:tc>
          <w:tcPr>
            <w:tcW w:w="4068" w:type="dxa"/>
            <w:gridSpan w:val="3"/>
          </w:tcPr>
          <w:p w:rsidR="00D84B9D" w:rsidRDefault="00D84B9D" w:rsidP="00500531">
            <w:pPr>
              <w:pStyle w:val="TableText"/>
              <w:spacing w:after="130"/>
            </w:pPr>
            <w:r>
              <w:t>Details of the relationship between the unit and relevant national occupational standards or professional standards or curricula (if appropriate)</w:t>
            </w:r>
          </w:p>
        </w:tc>
        <w:tc>
          <w:tcPr>
            <w:tcW w:w="4312" w:type="dxa"/>
            <w:gridSpan w:val="2"/>
          </w:tcPr>
          <w:p w:rsidR="00D84B9D" w:rsidRDefault="00D84B9D" w:rsidP="00072DE4">
            <w:pPr>
              <w:pStyle w:val="TableText"/>
            </w:pPr>
            <w:r>
              <w:t xml:space="preserve">Links to </w:t>
            </w:r>
            <w:r w:rsidR="006F73AB">
              <w:t>Management and Leadership</w:t>
            </w:r>
            <w:r>
              <w:t xml:space="preserve"> 2004 NOS: E2</w:t>
            </w:r>
          </w:p>
        </w:tc>
      </w:tr>
      <w:tr w:rsidR="00D84B9D">
        <w:tc>
          <w:tcPr>
            <w:tcW w:w="4068" w:type="dxa"/>
            <w:gridSpan w:val="3"/>
          </w:tcPr>
          <w:p w:rsidR="00D84B9D" w:rsidRDefault="00D84B9D" w:rsidP="00500531">
            <w:pPr>
              <w:pStyle w:val="TableText"/>
              <w:spacing w:after="130"/>
            </w:pPr>
            <w:r>
              <w:lastRenderedPageBreak/>
              <w:t>Assessment requirements or guidance specified by a sector or regulatory body (if appropriate)</w:t>
            </w:r>
          </w:p>
        </w:tc>
        <w:tc>
          <w:tcPr>
            <w:tcW w:w="4312" w:type="dxa"/>
            <w:gridSpan w:val="2"/>
          </w:tcPr>
          <w:p w:rsidR="00D84B9D" w:rsidRDefault="00D84B9D" w:rsidP="00500531"/>
        </w:tc>
      </w:tr>
      <w:tr w:rsidR="00D84B9D">
        <w:tc>
          <w:tcPr>
            <w:tcW w:w="4068" w:type="dxa"/>
            <w:gridSpan w:val="3"/>
          </w:tcPr>
          <w:p w:rsidR="00D84B9D" w:rsidRDefault="00D84B9D" w:rsidP="00500531">
            <w:pPr>
              <w:pStyle w:val="TableText"/>
              <w:spacing w:after="130"/>
            </w:pPr>
            <w:r>
              <w:t>Support for the unit from a sector skills council or other appropriate body (if required)</w:t>
            </w:r>
          </w:p>
        </w:tc>
        <w:tc>
          <w:tcPr>
            <w:tcW w:w="4312" w:type="dxa"/>
            <w:gridSpan w:val="2"/>
          </w:tcPr>
          <w:p w:rsidR="00D84B9D" w:rsidRDefault="006F73AB" w:rsidP="00072DE4">
            <w:pPr>
              <w:pStyle w:val="TableText"/>
            </w:pPr>
            <w:r>
              <w:t>Council for Administration (CfA)</w:t>
            </w:r>
          </w:p>
        </w:tc>
      </w:tr>
      <w:tr w:rsidR="00620B97">
        <w:tc>
          <w:tcPr>
            <w:tcW w:w="4068" w:type="dxa"/>
            <w:gridSpan w:val="3"/>
          </w:tcPr>
          <w:p w:rsidR="00620B97" w:rsidRDefault="00620B97" w:rsidP="00500531">
            <w:pPr>
              <w:pStyle w:val="TableText"/>
              <w:spacing w:after="130"/>
            </w:pPr>
            <w:r>
              <w:t>Equivalencies agreed for the unit (if required)</w:t>
            </w:r>
          </w:p>
        </w:tc>
        <w:tc>
          <w:tcPr>
            <w:tcW w:w="4312" w:type="dxa"/>
            <w:gridSpan w:val="2"/>
          </w:tcPr>
          <w:p w:rsidR="00620B97" w:rsidRDefault="00620B97" w:rsidP="00072DE4">
            <w:pPr>
              <w:pStyle w:val="TableText"/>
            </w:pPr>
            <w:r>
              <w:t>M4.19 Understanding and interpreting financial data</w:t>
            </w:r>
          </w:p>
        </w:tc>
      </w:tr>
      <w:tr w:rsidR="00D84B9D">
        <w:tc>
          <w:tcPr>
            <w:tcW w:w="4068" w:type="dxa"/>
            <w:gridSpan w:val="3"/>
          </w:tcPr>
          <w:p w:rsidR="00D84B9D" w:rsidRDefault="00D84B9D" w:rsidP="00500531">
            <w:pPr>
              <w:pStyle w:val="TableText"/>
              <w:spacing w:after="130"/>
            </w:pPr>
            <w:r>
              <w:t>Location of the unit within the subject/sector classification system</w:t>
            </w:r>
          </w:p>
        </w:tc>
        <w:tc>
          <w:tcPr>
            <w:tcW w:w="4312" w:type="dxa"/>
            <w:gridSpan w:val="2"/>
          </w:tcPr>
          <w:p w:rsidR="00D84B9D" w:rsidRDefault="006F73AB" w:rsidP="00072DE4">
            <w:pPr>
              <w:pStyle w:val="TableText"/>
              <w:jc w:val="both"/>
            </w:pPr>
            <w:r>
              <w:t xml:space="preserve">15.3 </w:t>
            </w:r>
            <w:r w:rsidR="00D84B9D">
              <w:t>Business Management</w:t>
            </w:r>
          </w:p>
        </w:tc>
      </w:tr>
      <w:tr w:rsidR="00D84B9D">
        <w:tc>
          <w:tcPr>
            <w:tcW w:w="8380" w:type="dxa"/>
            <w:gridSpan w:val="5"/>
            <w:shd w:val="clear" w:color="auto" w:fill="99CCFF"/>
          </w:tcPr>
          <w:p w:rsidR="00D84B9D" w:rsidRDefault="00D84B9D" w:rsidP="00500531">
            <w:pPr>
              <w:pStyle w:val="TableText"/>
              <w:jc w:val="both"/>
            </w:pPr>
            <w:r>
              <w:rPr>
                <w:b/>
                <w:bCs/>
              </w:rPr>
              <w:t>Additional Guidance about the Unit</w:t>
            </w:r>
          </w:p>
        </w:tc>
      </w:tr>
      <w:tr w:rsidR="00D84B9D" w:rsidRPr="00CD0A03">
        <w:trPr>
          <w:trHeight w:val="445"/>
        </w:trPr>
        <w:tc>
          <w:tcPr>
            <w:tcW w:w="8380" w:type="dxa"/>
            <w:gridSpan w:val="5"/>
          </w:tcPr>
          <w:p w:rsidR="00D84B9D" w:rsidRPr="00CD0A03" w:rsidRDefault="00D84B9D" w:rsidP="00500531">
            <w:pPr>
              <w:pStyle w:val="TableText"/>
              <w:rPr>
                <w:b/>
                <w:bCs/>
              </w:rPr>
            </w:pPr>
            <w:r w:rsidRPr="00CD0A03">
              <w:rPr>
                <w:b/>
                <w:bCs/>
              </w:rPr>
              <w:t>Indicative Content:</w:t>
            </w:r>
          </w:p>
        </w:tc>
      </w:tr>
      <w:tr w:rsidR="00D84B9D" w:rsidRPr="00C866A4">
        <w:tc>
          <w:tcPr>
            <w:tcW w:w="392" w:type="dxa"/>
          </w:tcPr>
          <w:p w:rsidR="00D84B9D" w:rsidRDefault="00D84B9D" w:rsidP="00500531">
            <w:pPr>
              <w:pStyle w:val="TableText"/>
              <w:jc w:val="center"/>
            </w:pPr>
            <w:r>
              <w:t>1</w:t>
            </w:r>
          </w:p>
        </w:tc>
        <w:tc>
          <w:tcPr>
            <w:tcW w:w="7988" w:type="dxa"/>
            <w:gridSpan w:val="4"/>
          </w:tcPr>
          <w:p w:rsidR="00D84B9D" w:rsidRPr="00BA272B" w:rsidRDefault="00D84B9D" w:rsidP="00072DE4">
            <w:pPr>
              <w:rPr>
                <w:sz w:val="20"/>
                <w:szCs w:val="20"/>
              </w:rPr>
            </w:pPr>
          </w:p>
          <w:p w:rsidR="00D84B9D" w:rsidRPr="00BA272B" w:rsidRDefault="00D84B9D" w:rsidP="00D84B9D">
            <w:pPr>
              <w:numPr>
                <w:ilvl w:val="0"/>
                <w:numId w:val="4"/>
              </w:numPr>
              <w:tabs>
                <w:tab w:val="clear" w:pos="720"/>
                <w:tab w:val="num" w:pos="330"/>
              </w:tabs>
              <w:ind w:left="357" w:hanging="357"/>
              <w:jc w:val="left"/>
              <w:rPr>
                <w:color w:val="000000"/>
                <w:sz w:val="20"/>
                <w:szCs w:val="20"/>
              </w:rPr>
            </w:pPr>
            <w:r w:rsidRPr="00BA272B">
              <w:rPr>
                <w:color w:val="000000"/>
                <w:sz w:val="20"/>
                <w:szCs w:val="20"/>
              </w:rPr>
              <w:t xml:space="preserve">Range of stakeholders and their various </w:t>
            </w:r>
            <w:r>
              <w:rPr>
                <w:color w:val="000000"/>
                <w:sz w:val="20"/>
                <w:szCs w:val="20"/>
              </w:rPr>
              <w:t xml:space="preserve">and sometimes differing and conflicting financial </w:t>
            </w:r>
            <w:r w:rsidRPr="00BA272B">
              <w:rPr>
                <w:color w:val="000000"/>
                <w:sz w:val="20"/>
                <w:szCs w:val="20"/>
              </w:rPr>
              <w:t>expectations of the organi</w:t>
            </w:r>
            <w:r>
              <w:rPr>
                <w:color w:val="000000"/>
                <w:sz w:val="20"/>
                <w:szCs w:val="20"/>
              </w:rPr>
              <w:t>sation, such as distribute or invest profit</w:t>
            </w:r>
          </w:p>
          <w:p w:rsidR="00D84B9D" w:rsidRPr="00BF57C6" w:rsidRDefault="00D84B9D" w:rsidP="00D84B9D">
            <w:pPr>
              <w:numPr>
                <w:ilvl w:val="0"/>
                <w:numId w:val="3"/>
              </w:numPr>
              <w:tabs>
                <w:tab w:val="clear" w:pos="720"/>
                <w:tab w:val="num" w:pos="330"/>
              </w:tabs>
              <w:ind w:left="330" w:hanging="330"/>
              <w:jc w:val="left"/>
              <w:rPr>
                <w:sz w:val="20"/>
                <w:szCs w:val="20"/>
              </w:rPr>
            </w:pPr>
            <w:r w:rsidRPr="00BA272B">
              <w:rPr>
                <w:color w:val="000000"/>
                <w:sz w:val="20"/>
                <w:szCs w:val="20"/>
              </w:rPr>
              <w:t>Balance sheet</w:t>
            </w:r>
            <w:r>
              <w:rPr>
                <w:color w:val="000000"/>
                <w:sz w:val="20"/>
                <w:szCs w:val="20"/>
              </w:rPr>
              <w:t xml:space="preserve"> (statement of financial position)</w:t>
            </w:r>
            <w:r w:rsidRPr="00BA272B">
              <w:rPr>
                <w:color w:val="000000"/>
                <w:sz w:val="20"/>
                <w:szCs w:val="20"/>
              </w:rPr>
              <w:t>, profit and loss account</w:t>
            </w:r>
            <w:r>
              <w:rPr>
                <w:color w:val="000000"/>
                <w:sz w:val="20"/>
                <w:szCs w:val="20"/>
              </w:rPr>
              <w:t xml:space="preserve"> (income statement)</w:t>
            </w:r>
            <w:r w:rsidRPr="00BA272B">
              <w:rPr>
                <w:color w:val="000000"/>
                <w:sz w:val="20"/>
                <w:szCs w:val="20"/>
              </w:rPr>
              <w:t>, income and expenditure accounts</w:t>
            </w:r>
            <w:r>
              <w:rPr>
                <w:sz w:val="20"/>
                <w:szCs w:val="20"/>
              </w:rPr>
              <w:t>, statement of activities, statement of cash flows, statement of changes in equity</w:t>
            </w:r>
          </w:p>
          <w:p w:rsidR="00D84B9D" w:rsidRPr="00BA272B" w:rsidRDefault="00D84B9D" w:rsidP="00072DE4">
            <w:pPr>
              <w:pStyle w:val="Indicativecontent"/>
              <w:numPr>
                <w:ilvl w:val="0"/>
                <w:numId w:val="0"/>
              </w:numPr>
              <w:rPr>
                <w:b/>
                <w:bCs/>
              </w:rPr>
            </w:pPr>
          </w:p>
        </w:tc>
      </w:tr>
      <w:tr w:rsidR="00D84B9D" w:rsidRPr="00C866A4">
        <w:tc>
          <w:tcPr>
            <w:tcW w:w="392" w:type="dxa"/>
          </w:tcPr>
          <w:p w:rsidR="00D84B9D" w:rsidRDefault="00D84B9D" w:rsidP="00500531">
            <w:pPr>
              <w:pStyle w:val="TableText"/>
              <w:jc w:val="center"/>
            </w:pPr>
            <w:r>
              <w:t>2</w:t>
            </w:r>
          </w:p>
        </w:tc>
        <w:tc>
          <w:tcPr>
            <w:tcW w:w="7988" w:type="dxa"/>
            <w:gridSpan w:val="4"/>
          </w:tcPr>
          <w:p w:rsidR="00D84B9D" w:rsidRPr="00BA272B" w:rsidRDefault="00D84B9D" w:rsidP="00072DE4">
            <w:pPr>
              <w:rPr>
                <w:sz w:val="20"/>
                <w:szCs w:val="20"/>
              </w:rPr>
            </w:pPr>
          </w:p>
          <w:p w:rsidR="00D84B9D" w:rsidRDefault="00D84B9D" w:rsidP="00D84B9D">
            <w:pPr>
              <w:numPr>
                <w:ilvl w:val="0"/>
                <w:numId w:val="3"/>
              </w:numPr>
              <w:tabs>
                <w:tab w:val="clear" w:pos="720"/>
                <w:tab w:val="num" w:pos="330"/>
              </w:tabs>
              <w:ind w:left="357" w:hanging="357"/>
              <w:jc w:val="left"/>
              <w:rPr>
                <w:sz w:val="20"/>
                <w:szCs w:val="20"/>
              </w:rPr>
            </w:pPr>
            <w:r>
              <w:rPr>
                <w:sz w:val="20"/>
                <w:szCs w:val="20"/>
              </w:rPr>
              <w:t>The hierarchy of ratios</w:t>
            </w:r>
          </w:p>
          <w:p w:rsidR="00D84B9D" w:rsidRPr="00713B55" w:rsidRDefault="00D84B9D" w:rsidP="00D84B9D">
            <w:pPr>
              <w:numPr>
                <w:ilvl w:val="0"/>
                <w:numId w:val="3"/>
              </w:numPr>
              <w:tabs>
                <w:tab w:val="clear" w:pos="720"/>
                <w:tab w:val="num" w:pos="330"/>
              </w:tabs>
              <w:ind w:left="357" w:hanging="357"/>
              <w:jc w:val="left"/>
              <w:rPr>
                <w:sz w:val="20"/>
                <w:szCs w:val="20"/>
              </w:rPr>
            </w:pPr>
            <w:r>
              <w:rPr>
                <w:sz w:val="20"/>
                <w:szCs w:val="20"/>
              </w:rPr>
              <w:t>Financial r</w:t>
            </w:r>
            <w:r w:rsidRPr="00DC7B64">
              <w:rPr>
                <w:sz w:val="20"/>
                <w:szCs w:val="20"/>
              </w:rPr>
              <w:t>atio analysis</w:t>
            </w:r>
            <w:r>
              <w:rPr>
                <w:sz w:val="20"/>
                <w:szCs w:val="20"/>
              </w:rPr>
              <w:t xml:space="preserve">, </w:t>
            </w:r>
            <w:r w:rsidRPr="00713B55">
              <w:rPr>
                <w:sz w:val="20"/>
                <w:szCs w:val="20"/>
              </w:rPr>
              <w:t xml:space="preserve">including profitability, financial efficiency, </w:t>
            </w:r>
            <w:r>
              <w:rPr>
                <w:sz w:val="20"/>
                <w:szCs w:val="20"/>
              </w:rPr>
              <w:t xml:space="preserve">liquidity and gearing and </w:t>
            </w:r>
            <w:r w:rsidRPr="00713B55">
              <w:rPr>
                <w:sz w:val="20"/>
                <w:szCs w:val="20"/>
              </w:rPr>
              <w:t>shareholder return ratios</w:t>
            </w:r>
          </w:p>
          <w:p w:rsidR="00D84B9D" w:rsidRDefault="00D84B9D" w:rsidP="00D84B9D">
            <w:pPr>
              <w:numPr>
                <w:ilvl w:val="0"/>
                <w:numId w:val="3"/>
              </w:numPr>
              <w:tabs>
                <w:tab w:val="clear" w:pos="720"/>
                <w:tab w:val="num" w:pos="330"/>
              </w:tabs>
              <w:ind w:hanging="720"/>
              <w:jc w:val="left"/>
              <w:rPr>
                <w:sz w:val="20"/>
                <w:szCs w:val="20"/>
              </w:rPr>
            </w:pPr>
            <w:r>
              <w:rPr>
                <w:sz w:val="20"/>
                <w:szCs w:val="20"/>
              </w:rPr>
              <w:t>Calculating and interpreting financial ratios</w:t>
            </w:r>
          </w:p>
          <w:p w:rsidR="00D84B9D" w:rsidRPr="00BA272B" w:rsidRDefault="00D84B9D" w:rsidP="00D84B9D">
            <w:pPr>
              <w:numPr>
                <w:ilvl w:val="0"/>
                <w:numId w:val="3"/>
              </w:numPr>
              <w:tabs>
                <w:tab w:val="clear" w:pos="720"/>
                <w:tab w:val="num" w:pos="330"/>
              </w:tabs>
              <w:spacing w:after="240"/>
              <w:ind w:left="357" w:hanging="357"/>
              <w:jc w:val="left"/>
              <w:rPr>
                <w:b/>
                <w:bCs/>
              </w:rPr>
            </w:pPr>
            <w:r>
              <w:rPr>
                <w:sz w:val="20"/>
                <w:szCs w:val="20"/>
              </w:rPr>
              <w:t xml:space="preserve">Limitations of ratio analysis and the organisational context, such as using past data to predict the future, the objectives of the organisation, the state of the market, the organisation’s stage of development, the importance of non-quantitative data, benchmarking  </w:t>
            </w:r>
          </w:p>
        </w:tc>
      </w:tr>
      <w:bookmarkEnd w:id="0"/>
    </w:tbl>
    <w:p w:rsidR="00094ABB" w:rsidRPr="009E01ED" w:rsidRDefault="00094ABB"/>
    <w:sectPr w:rsidR="00094ABB" w:rsidRPr="009E01ED" w:rsidSect="00E371A7">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2EF" w:rsidRDefault="00D462EF" w:rsidP="00E371A7">
      <w:r>
        <w:separator/>
      </w:r>
    </w:p>
  </w:endnote>
  <w:endnote w:type="continuationSeparator" w:id="0">
    <w:p w:rsidR="00D462EF" w:rsidRDefault="00D462EF" w:rsidP="00E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5A" w:rsidRDefault="00F3215A" w:rsidP="00F3215A">
    <w:pPr>
      <w:tabs>
        <w:tab w:val="center" w:pos="4513"/>
        <w:tab w:val="right" w:pos="9026"/>
      </w:tabs>
      <w:rPr>
        <w:rFonts w:cs="Times New Roman"/>
        <w:sz w:val="20"/>
      </w:rPr>
    </w:pPr>
    <w:r>
      <w:rPr>
        <w:sz w:val="20"/>
      </w:rPr>
      <w:t>Awarded by City &amp; Guilds.</w:t>
    </w:r>
  </w:p>
  <w:p w:rsidR="00F3215A" w:rsidRDefault="0049269B" w:rsidP="00F3215A">
    <w:pPr>
      <w:tabs>
        <w:tab w:val="center" w:pos="4513"/>
        <w:tab w:val="right" w:pos="9026"/>
      </w:tabs>
      <w:rPr>
        <w:sz w:val="20"/>
      </w:rPr>
    </w:pPr>
    <w:r w:rsidRPr="0049269B">
      <w:rPr>
        <w:sz w:val="20"/>
      </w:rPr>
      <w:t>Interpreting financial statements to assess organisational performance using financial ratios</w:t>
    </w:r>
    <w:r w:rsidR="00F3215A">
      <w:rPr>
        <w:sz w:val="20"/>
      </w:rPr>
      <w:t xml:space="preserve"> </w:t>
    </w:r>
  </w:p>
  <w:p w:rsidR="00E371A7" w:rsidRPr="00F3215A" w:rsidRDefault="00F3215A" w:rsidP="00F3215A">
    <w:pPr>
      <w:tabs>
        <w:tab w:val="center" w:pos="4513"/>
        <w:tab w:val="right" w:pos="9026"/>
      </w:tabs>
      <w:rPr>
        <w:sz w:val="20"/>
      </w:rPr>
    </w:pPr>
    <w:r>
      <w:rPr>
        <w:sz w:val="20"/>
      </w:rPr>
      <w:t>Version 1.0 (February 2016)</w:t>
    </w:r>
    <w:r>
      <w:rPr>
        <w:sz w:val="20"/>
      </w:rPr>
      <w:tab/>
    </w:r>
    <w:r>
      <w:rPr>
        <w:sz w:val="20"/>
      </w:rPr>
      <w:tab/>
    </w:r>
    <w:sdt>
      <w:sdtPr>
        <w:rPr>
          <w:noProof/>
          <w:sz w:val="20"/>
        </w:rPr>
        <w:id w:val="40254717"/>
        <w:docPartObj>
          <w:docPartGallery w:val="Page Numbers (Bottom of Page)"/>
          <w:docPartUnique/>
        </w:docPartObj>
      </w:sdtPr>
      <w:sdtEndPr/>
      <w:sdtContent>
        <w:r>
          <w:rPr>
            <w:sz w:val="20"/>
          </w:rPr>
          <w:fldChar w:fldCharType="begin"/>
        </w:r>
        <w:r>
          <w:rPr>
            <w:sz w:val="20"/>
          </w:rPr>
          <w:instrText xml:space="preserve"> PAGE   \* MERGEFORMAT </w:instrText>
        </w:r>
        <w:r>
          <w:rPr>
            <w:sz w:val="20"/>
          </w:rPr>
          <w:fldChar w:fldCharType="separate"/>
        </w:r>
        <w:r w:rsidR="00EF241D">
          <w:rPr>
            <w:noProof/>
            <w:sz w:val="20"/>
          </w:rPr>
          <w:t>1</w:t>
        </w:r>
        <w:r>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2EF" w:rsidRDefault="00D462EF" w:rsidP="00E371A7">
      <w:r>
        <w:separator/>
      </w:r>
    </w:p>
  </w:footnote>
  <w:footnote w:type="continuationSeparator" w:id="0">
    <w:p w:rsidR="00D462EF" w:rsidRDefault="00D462EF" w:rsidP="00E37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1A7" w:rsidRDefault="00EF241D" w:rsidP="00E371A7">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ragraph">
            <wp:posOffset>228600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0AB"/>
    <w:multiLevelType w:val="hybridMultilevel"/>
    <w:tmpl w:val="9766932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17446C0"/>
    <w:multiLevelType w:val="hybridMultilevel"/>
    <w:tmpl w:val="385436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BF"/>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2DE4"/>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2C72"/>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24F5"/>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69B"/>
    <w:rsid w:val="00492943"/>
    <w:rsid w:val="0049340D"/>
    <w:rsid w:val="00493609"/>
    <w:rsid w:val="004938E5"/>
    <w:rsid w:val="00493E20"/>
    <w:rsid w:val="00494772"/>
    <w:rsid w:val="00495064"/>
    <w:rsid w:val="0049757D"/>
    <w:rsid w:val="004A1CCA"/>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3BBF"/>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6721"/>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B97"/>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1CBD"/>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97B2B"/>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3E70"/>
    <w:rsid w:val="006F548B"/>
    <w:rsid w:val="006F6491"/>
    <w:rsid w:val="006F73AB"/>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3B55"/>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2F51"/>
    <w:rsid w:val="007D3443"/>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4B8"/>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423E"/>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289B"/>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289"/>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272B"/>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57C6"/>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54B4"/>
    <w:rsid w:val="00C8571F"/>
    <w:rsid w:val="00C866A4"/>
    <w:rsid w:val="00C86B7C"/>
    <w:rsid w:val="00C87224"/>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2EF"/>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84B9D"/>
    <w:rsid w:val="00D90A40"/>
    <w:rsid w:val="00D92A86"/>
    <w:rsid w:val="00D93537"/>
    <w:rsid w:val="00D93BFE"/>
    <w:rsid w:val="00D93C1D"/>
    <w:rsid w:val="00D94AA2"/>
    <w:rsid w:val="00D94B34"/>
    <w:rsid w:val="00D961DC"/>
    <w:rsid w:val="00DA0F0C"/>
    <w:rsid w:val="00DA16C2"/>
    <w:rsid w:val="00DA2F26"/>
    <w:rsid w:val="00DA46E3"/>
    <w:rsid w:val="00DA59A1"/>
    <w:rsid w:val="00DA5B67"/>
    <w:rsid w:val="00DB2C99"/>
    <w:rsid w:val="00DB4E6A"/>
    <w:rsid w:val="00DB69B0"/>
    <w:rsid w:val="00DB756D"/>
    <w:rsid w:val="00DC05E4"/>
    <w:rsid w:val="00DC211F"/>
    <w:rsid w:val="00DC2AF2"/>
    <w:rsid w:val="00DC2AFE"/>
    <w:rsid w:val="00DC5D1D"/>
    <w:rsid w:val="00DC7B64"/>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33C6"/>
    <w:rsid w:val="00E23B49"/>
    <w:rsid w:val="00E2431F"/>
    <w:rsid w:val="00E254C3"/>
    <w:rsid w:val="00E26022"/>
    <w:rsid w:val="00E27658"/>
    <w:rsid w:val="00E3249C"/>
    <w:rsid w:val="00E32A98"/>
    <w:rsid w:val="00E34C78"/>
    <w:rsid w:val="00E35214"/>
    <w:rsid w:val="00E35D6E"/>
    <w:rsid w:val="00E36B37"/>
    <w:rsid w:val="00E371A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EA5"/>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F0805"/>
    <w:rsid w:val="00EF0FAF"/>
    <w:rsid w:val="00EF18E8"/>
    <w:rsid w:val="00EF241D"/>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15A"/>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8B972B-DFE2-423D-9381-88652662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BF"/>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BBF"/>
    <w:pPr>
      <w:tabs>
        <w:tab w:val="center" w:pos="4153"/>
        <w:tab w:val="right" w:pos="8306"/>
      </w:tabs>
    </w:pPr>
  </w:style>
  <w:style w:type="character" w:customStyle="1" w:styleId="HeaderChar">
    <w:name w:val="Header Char"/>
    <w:basedOn w:val="DefaultParagraphFont"/>
    <w:link w:val="Header"/>
    <w:uiPriority w:val="99"/>
    <w:locked/>
    <w:rsid w:val="004F3BBF"/>
    <w:rPr>
      <w:rFonts w:ascii="Arial" w:hAnsi="Arial" w:cs="Arial"/>
      <w:sz w:val="22"/>
      <w:szCs w:val="22"/>
      <w:lang w:val="en-GB" w:eastAsia="en-US"/>
    </w:rPr>
  </w:style>
  <w:style w:type="paragraph" w:customStyle="1" w:styleId="TableText">
    <w:name w:val="Table Text"/>
    <w:basedOn w:val="Normal"/>
    <w:uiPriority w:val="99"/>
    <w:semiHidden/>
    <w:rsid w:val="004F3BBF"/>
    <w:pPr>
      <w:spacing w:before="120" w:after="170" w:line="240" w:lineRule="atLeast"/>
      <w:jc w:val="left"/>
    </w:pPr>
    <w:rPr>
      <w:sz w:val="20"/>
      <w:szCs w:val="20"/>
    </w:rPr>
  </w:style>
  <w:style w:type="paragraph" w:customStyle="1" w:styleId="TableColumnHeader">
    <w:name w:val="Table Column Header"/>
    <w:basedOn w:val="TableText"/>
    <w:uiPriority w:val="99"/>
    <w:semiHidden/>
    <w:rsid w:val="004F3BBF"/>
    <w:rPr>
      <w:b/>
      <w:bCs/>
    </w:rPr>
  </w:style>
  <w:style w:type="character" w:styleId="CommentReference">
    <w:name w:val="annotation reference"/>
    <w:basedOn w:val="DefaultParagraphFont"/>
    <w:uiPriority w:val="99"/>
    <w:semiHidden/>
    <w:rsid w:val="00D84B9D"/>
    <w:rPr>
      <w:sz w:val="16"/>
      <w:szCs w:val="16"/>
    </w:rPr>
  </w:style>
  <w:style w:type="paragraph" w:styleId="CommentText">
    <w:name w:val="annotation text"/>
    <w:basedOn w:val="Normal"/>
    <w:link w:val="CommentTextChar"/>
    <w:uiPriority w:val="99"/>
    <w:semiHidden/>
    <w:rsid w:val="00D84B9D"/>
    <w:pPr>
      <w:jc w:val="left"/>
    </w:pPr>
    <w:rPr>
      <w:sz w:val="20"/>
      <w:szCs w:val="20"/>
    </w:rPr>
  </w:style>
  <w:style w:type="character" w:customStyle="1" w:styleId="CommentTextChar">
    <w:name w:val="Comment Text Char"/>
    <w:basedOn w:val="DefaultParagraphFont"/>
    <w:link w:val="CommentText"/>
    <w:uiPriority w:val="99"/>
    <w:semiHidden/>
    <w:locked/>
    <w:rsid w:val="00D84B9D"/>
    <w:rPr>
      <w:sz w:val="20"/>
      <w:szCs w:val="20"/>
      <w:lang w:val="x-none" w:eastAsia="en-US"/>
    </w:rPr>
  </w:style>
  <w:style w:type="paragraph" w:styleId="BalloonText">
    <w:name w:val="Balloon Text"/>
    <w:basedOn w:val="Normal"/>
    <w:link w:val="BalloonTextChar"/>
    <w:uiPriority w:val="99"/>
    <w:semiHidden/>
    <w:rsid w:val="00D84B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4B9D"/>
    <w:rPr>
      <w:rFonts w:ascii="Tahoma" w:hAnsi="Tahoma" w:cs="Tahoma"/>
      <w:sz w:val="16"/>
      <w:szCs w:val="16"/>
      <w:lang w:val="x-none" w:eastAsia="en-US"/>
    </w:rPr>
  </w:style>
  <w:style w:type="paragraph" w:customStyle="1" w:styleId="Indicativecontent">
    <w:name w:val="Indicative content"/>
    <w:basedOn w:val="Normal"/>
    <w:uiPriority w:val="99"/>
    <w:rsid w:val="00D84B9D"/>
    <w:pPr>
      <w:numPr>
        <w:numId w:val="2"/>
      </w:numPr>
      <w:jc w:val="left"/>
    </w:pPr>
    <w:rPr>
      <w:sz w:val="20"/>
      <w:szCs w:val="20"/>
    </w:rPr>
  </w:style>
  <w:style w:type="paragraph" w:styleId="Footer">
    <w:name w:val="footer"/>
    <w:basedOn w:val="Normal"/>
    <w:link w:val="FooterChar"/>
    <w:uiPriority w:val="99"/>
    <w:unhideWhenUsed/>
    <w:rsid w:val="00E371A7"/>
    <w:pPr>
      <w:tabs>
        <w:tab w:val="center" w:pos="4513"/>
        <w:tab w:val="right" w:pos="9026"/>
      </w:tabs>
    </w:pPr>
  </w:style>
  <w:style w:type="character" w:customStyle="1" w:styleId="FooterChar">
    <w:name w:val="Footer Char"/>
    <w:basedOn w:val="DefaultParagraphFont"/>
    <w:link w:val="Footer"/>
    <w:uiPriority w:val="99"/>
    <w:rsid w:val="00E371A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F7C730CDC7FCC74382B2DAEA7327E707" ma:contentTypeVersion="4" ma:contentTypeDescription="" ma:contentTypeScope="" ma:versionID="6cbbb1c3da66cbe6fcdd553aa2ea791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610</Value>
      <Value>609</Value>
      <Value>608</Value>
      <Value>607</Value>
      <Value>135</Value>
      <Value>134</Value>
      <Value>507</Value>
      <Value>1023</Value>
      <Value>126</Value>
      <Value>125</Value>
      <Value>124</Value>
      <Value>728</Value>
      <Value>662</Value>
      <Value>1012</Value>
      <Value>1011</Value>
      <Value>1010</Value>
      <Value>1009</Value>
      <Value>1007</Value>
      <Value>1006</Value>
      <Value>1005</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8605-421</TermName>
          <TermId xmlns="http://schemas.microsoft.com/office/infopath/2007/PartnerControls">cca5ef4f-7fee-40f1-bc40-f90369623294</TermId>
        </TermInfo>
        <TermInfo xmlns="http://schemas.microsoft.com/office/infopath/2007/PartnerControls">
          <TermName xmlns="http://schemas.microsoft.com/office/infopath/2007/PartnerControls">8607-421</TermName>
          <TermId xmlns="http://schemas.microsoft.com/office/infopath/2007/PartnerControls">b54363f5-c0d7-482e-b8a6-ff327b973e6a</TermId>
        </TermInfo>
        <TermInfo xmlns="http://schemas.microsoft.com/office/infopath/2007/PartnerControls">
          <TermName xmlns="http://schemas.microsoft.com/office/infopath/2007/PartnerControls">8610-421</TermName>
          <TermId xmlns="http://schemas.microsoft.com/office/infopath/2007/PartnerControls">7d79d348-4d7e-402b-94a0-19b19f0f0ad7</TermId>
        </TermInfo>
        <TermInfo xmlns="http://schemas.microsoft.com/office/infopath/2007/PartnerControls">
          <TermName xmlns="http://schemas.microsoft.com/office/infopath/2007/PartnerControls">8625-421</TermName>
          <TermId xmlns="http://schemas.microsoft.com/office/infopath/2007/PartnerControls">19db6db8-3eec-4cc7-b1f9-2f9fb71cd9ae</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3CE8A7AD-F114-4E1B-AA94-4C14EACAF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25E8F-E5F3-43B9-BD32-4FCCF9C9CB3E}">
  <ds:schemaRefs>
    <ds:schemaRef ds:uri="http://schemas.microsoft.com/sharepoint/v3/contenttype/forms"/>
  </ds:schemaRefs>
</ds:datastoreItem>
</file>

<file path=customXml/itemProps3.xml><?xml version="1.0" encoding="utf-8"?>
<ds:datastoreItem xmlns:ds="http://schemas.openxmlformats.org/officeDocument/2006/customXml" ds:itemID="{8070E9B2-0D70-4FD9-B395-6859FC9FDAB5}">
  <ds:schemaRefs>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5f8ea682-3a42-454b-8035-422047e146b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Interpreting Financial Statements to Assess Organisational Performance Using Financial Ratios</vt:lpstr>
    </vt:vector>
  </TitlesOfParts>
  <Company>City &amp; Guilds</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Financial Statements to Assess Organisational Performance Using Financial Ratios</dc:title>
  <dc:creator>shalinis</dc:creator>
  <cp:lastModifiedBy>Jurgita Baleviciute</cp:lastModifiedBy>
  <cp:revision>2</cp:revision>
  <dcterms:created xsi:type="dcterms:W3CDTF">2017-01-16T15:53:00Z</dcterms:created>
  <dcterms:modified xsi:type="dcterms:W3CDTF">2017-01-16T15:53:00Z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0x010100AEAF307ED83CE94ABF51354CE85ADD6A00F7C730CDC7FCC74382B2DAEA7327E707</vt:lpwstr>
  </property>
  <property fmtid="{D5CDD505-2E9C-101B-9397-08002B2CF9AE}" pid="3" name="Units">
    <vt:lpwstr>507;#8605-421|cca5ef4f-7fee-40f1-bc40-f90369623294;#662;#8607-421|b54363f5-c0d7-482e-b8a6-ff327b973e6a;#728;#8610-421|7d79d348-4d7e-402b-94a0-19b19f0f0ad7;#1023;#8625-421|19db6db8-3eec-4cc7-b1f9-2f9fb71cd9ae</vt:lpwstr>
  </property>
  <property fmtid="{D5CDD505-2E9C-101B-9397-08002B2CF9AE}" pid="4" name="Family Code">
    <vt:lpwstr>109;#8605|4ca9d4f6-eb3a-4a12-baaa-e0e314869f84;#607;#8607|acb670ad-aa6c-4fef-b9f4-07a23eb97a39;#134;#8610|8584757e-8fc6-40ae-aa8a-8bea734a23aa;#1005;#8625|bcc74ead-8655-447e-a9e9-edd584da9afa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